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spacing w:after="0" w:line="240" w:lineRule="auto"/>
        <w:rPr>
          <w:rFonts w:eastAsia="Arial Bold" w:cs="Arial"/>
          <w:bCs/>
          <w:sz w:val="24"/>
          <w:lang w:eastAsia="zh-CN"/>
        </w:rPr>
      </w:pPr>
      <w:r>
        <w:rPr>
          <w:rFonts w:eastAsia="Arial Bold" w:cs="Arial"/>
          <w:bCs/>
          <w:sz w:val="24"/>
          <w:lang w:val="en-GB" w:eastAsia="zh-CN"/>
        </w:rPr>
        <w:t>3GPP TSG-RAN WG2 Meeting</w:t>
      </w:r>
      <w:r>
        <w:rPr>
          <w:rFonts w:eastAsia="宋体" w:cs="Arial"/>
          <w:bCs/>
          <w:sz w:val="24"/>
          <w:lang w:val="en-GB" w:eastAsia="zh-CN"/>
        </w:rPr>
        <w:t xml:space="preserve"> #10</w:t>
      </w:r>
      <w:r>
        <w:rPr>
          <w:rFonts w:hint="eastAsia" w:eastAsia="宋体" w:cs="Arial"/>
          <w:bCs/>
          <w:sz w:val="24"/>
          <w:lang w:val="en-US" w:eastAsia="zh-CN"/>
        </w:rPr>
        <w:t>9-</w:t>
      </w:r>
      <w:r>
        <w:rPr>
          <w:rFonts w:eastAsia="Arial Bold" w:cs="Arial"/>
          <w:bCs/>
          <w:sz w:val="24"/>
          <w:lang w:val="en-GB" w:eastAsia="zh-CN"/>
        </w:rPr>
        <w:t>e</w:t>
      </w:r>
      <w:r>
        <w:rPr>
          <w:rFonts w:eastAsia="Arial Bold" w:cs="Arial"/>
          <w:bCs/>
          <w:sz w:val="24"/>
          <w:lang w:val="en-GB" w:eastAsia="zh-CN"/>
        </w:rPr>
        <w:tab/>
      </w:r>
      <w:r>
        <w:rPr>
          <w:rFonts w:hint="eastAsia" w:eastAsia="Arial Bold" w:cs="Arial"/>
          <w:bCs/>
          <w:sz w:val="24"/>
          <w:lang w:val="en-US" w:eastAsia="zh-CN"/>
        </w:rPr>
        <w:t xml:space="preserve">                                                     </w:t>
      </w:r>
      <w:r>
        <w:rPr>
          <w:rFonts w:hint="default" w:cs="Arial"/>
          <w:bCs/>
          <w:sz w:val="24"/>
          <w:lang w:val="en-US" w:eastAsia="zh-CN"/>
        </w:rPr>
        <w:t>R2-2001071</w:t>
      </w:r>
    </w:p>
    <w:p>
      <w:pPr>
        <w:pStyle w:val="22"/>
        <w:tabs>
          <w:tab w:val="left" w:pos="1701"/>
          <w:tab w:val="right" w:pos="9923"/>
          <w:tab w:val="clear" w:pos="4536"/>
          <w:tab w:val="clear" w:pos="9072"/>
        </w:tabs>
        <w:spacing w:after="0" w:line="240" w:lineRule="auto"/>
        <w:rPr>
          <w:rFonts w:hint="default" w:eastAsia="宋体" w:cs="Arial"/>
          <w:sz w:val="24"/>
          <w:lang w:val="en-US" w:eastAsia="zh-CN"/>
        </w:rPr>
      </w:pPr>
      <w:bookmarkStart w:id="0" w:name="OLE_LINK16"/>
      <w:bookmarkStart w:id="1" w:name="OLE_LINK15"/>
      <w:bookmarkStart w:id="2" w:name="OLE_LINK11"/>
      <w:bookmarkStart w:id="3" w:name="OLE_LINK10"/>
      <w:bookmarkStart w:id="4" w:name="OLE_LINK9"/>
      <w:r>
        <w:rPr>
          <w:rFonts w:eastAsia="宋体"/>
          <w:sz w:val="24"/>
          <w:lang w:eastAsia="zh-CN"/>
        </w:rPr>
        <w:t>Electronic Meeting, 28</w:t>
      </w:r>
      <w:r>
        <w:rPr>
          <w:rFonts w:eastAsia="宋体"/>
          <w:sz w:val="24"/>
          <w:vertAlign w:val="superscript"/>
          <w:lang w:eastAsia="zh-CN"/>
        </w:rPr>
        <w:t>th</w:t>
      </w:r>
      <w:r>
        <w:rPr>
          <w:rFonts w:eastAsia="宋体"/>
          <w:sz w:val="24"/>
          <w:lang w:eastAsia="zh-CN"/>
        </w:rPr>
        <w:t xml:space="preserve"> Feb – 6</w:t>
      </w:r>
      <w:r>
        <w:rPr>
          <w:rFonts w:eastAsia="宋体"/>
          <w:sz w:val="24"/>
          <w:vertAlign w:val="superscript"/>
          <w:lang w:eastAsia="zh-CN"/>
        </w:rPr>
        <w:t xml:space="preserve"> th</w:t>
      </w:r>
      <w:r>
        <w:rPr>
          <w:rFonts w:eastAsia="宋体"/>
          <w:sz w:val="24"/>
          <w:lang w:eastAsia="zh-CN"/>
        </w:rPr>
        <w:t xml:space="preserve"> Mar, 2020</w:t>
      </w:r>
      <w:bookmarkEnd w:id="0"/>
      <w:bookmarkEnd w:id="1"/>
      <w:bookmarkEnd w:id="2"/>
      <w:bookmarkEnd w:id="3"/>
      <w:bookmarkEnd w:id="4"/>
      <w:r>
        <w:rPr>
          <w:rFonts w:hint="eastAsia" w:cs="Arial" w:eastAsiaTheme="minorEastAsia"/>
          <w:sz w:val="24"/>
          <w:lang w:eastAsia="zh-CN"/>
        </w:rPr>
        <w:t xml:space="preserve"> </w:t>
      </w:r>
      <w:r>
        <w:rPr>
          <w:rFonts w:hint="eastAsia" w:eastAsia="宋体" w:cs="Arial"/>
          <w:b/>
          <w:sz w:val="24"/>
          <w:lang w:val="en-US" w:eastAsia="zh-CN"/>
        </w:rPr>
        <w:t xml:space="preserve">      </w:t>
      </w:r>
      <w:r>
        <w:rPr>
          <w:rFonts w:hint="eastAsia" w:eastAsia="宋体" w:cs="Arial"/>
          <w:sz w:val="24"/>
          <w:lang w:eastAsia="zh-CN"/>
        </w:rPr>
        <w:t xml:space="preserve"> </w:t>
      </w:r>
      <w:r>
        <w:rPr>
          <w:rFonts w:hint="eastAsia" w:eastAsia="宋体" w:cs="Arial"/>
          <w:sz w:val="24"/>
          <w:lang w:val="en-US" w:eastAsia="zh-CN"/>
        </w:rPr>
        <w:t xml:space="preserve">           </w:t>
      </w:r>
      <w:bookmarkStart w:id="19" w:name="_GoBack"/>
      <w:bookmarkEnd w:id="19"/>
      <w:r>
        <w:rPr>
          <w:rFonts w:hint="eastAsia" w:eastAsia="宋体" w:cs="Arial"/>
          <w:sz w:val="24"/>
          <w:lang w:val="en-US" w:eastAsia="zh-CN"/>
        </w:rPr>
        <w:t xml:space="preserve">(Revision of </w:t>
      </w:r>
      <w:r>
        <w:rPr>
          <w:rFonts w:cs="Arial"/>
          <w:bCs/>
          <w:sz w:val="24"/>
          <w:lang w:eastAsia="zh-CN"/>
        </w:rPr>
        <w:t>R2-1916098</w:t>
      </w:r>
      <w:r>
        <w:rPr>
          <w:rFonts w:hint="eastAsia" w:eastAsia="宋体" w:cs="Arial"/>
          <w:sz w:val="24"/>
          <w:lang w:val="en-US" w:eastAsia="zh-CN"/>
        </w:rPr>
        <w:t>)</w:t>
      </w:r>
    </w:p>
    <w:p>
      <w:pPr>
        <w:pStyle w:val="22"/>
        <w:spacing w:after="0" w:line="240" w:lineRule="auto"/>
        <w:rPr>
          <w:rFonts w:eastAsia="宋体" w:cs="Arial"/>
          <w:bCs/>
          <w:sz w:val="24"/>
          <w:lang w:val="en-GB" w:eastAsia="zh-CN"/>
        </w:rPr>
      </w:pPr>
      <w:r>
        <w:rPr>
          <w:rFonts w:hint="eastAsia" w:eastAsia="Arial Bold" w:cs="Arial"/>
          <w:bCs/>
          <w:sz w:val="24"/>
          <w:lang w:eastAsia="zh-CN"/>
        </w:rPr>
        <w:t xml:space="preserve">           </w:t>
      </w:r>
    </w:p>
    <w:p>
      <w:pPr>
        <w:pStyle w:val="22"/>
        <w:tabs>
          <w:tab w:val="left" w:pos="1800"/>
          <w:tab w:val="clear" w:pos="4536"/>
        </w:tabs>
        <w:spacing w:after="0" w:line="240" w:lineRule="auto"/>
        <w:ind w:left="1800" w:hanging="1800"/>
        <w:rPr>
          <w:rFonts w:cs="Arial"/>
          <w:sz w:val="24"/>
          <w:lang w:eastAsia="zh-CN"/>
        </w:rPr>
      </w:pPr>
      <w:r>
        <w:rPr>
          <w:rFonts w:cs="Arial"/>
          <w:sz w:val="24"/>
        </w:rPr>
        <w:t>Source:</w:t>
      </w:r>
      <w:r>
        <w:rPr>
          <w:rFonts w:hint="eastAsia" w:cs="Arial"/>
          <w:sz w:val="24"/>
          <w:lang w:eastAsia="zh-CN"/>
        </w:rPr>
        <w:t xml:space="preserve">            </w:t>
      </w:r>
      <w:r>
        <w:rPr>
          <w:rFonts w:cs="Arial"/>
          <w:sz w:val="24"/>
          <w:lang w:eastAsia="zh-CN"/>
        </w:rPr>
        <w:t>vivo</w:t>
      </w:r>
    </w:p>
    <w:p>
      <w:pPr>
        <w:pStyle w:val="22"/>
        <w:tabs>
          <w:tab w:val="left" w:pos="1800"/>
          <w:tab w:val="clear" w:pos="4536"/>
        </w:tabs>
        <w:spacing w:after="0" w:line="240" w:lineRule="auto"/>
        <w:ind w:left="1800" w:hanging="1800"/>
        <w:rPr>
          <w:rFonts w:cs="Arial"/>
          <w:sz w:val="24"/>
          <w:lang w:eastAsia="zh-CN"/>
        </w:rPr>
      </w:pPr>
      <w:r>
        <w:rPr>
          <w:rFonts w:cs="Arial"/>
          <w:sz w:val="24"/>
        </w:rPr>
        <w:t>Title:</w:t>
      </w:r>
      <w:bookmarkStart w:id="5" w:name="Title"/>
      <w:bookmarkEnd w:id="5"/>
      <w:r>
        <w:rPr>
          <w:rFonts w:hint="eastAsia" w:cs="Arial"/>
          <w:sz w:val="24"/>
          <w:lang w:eastAsia="zh-CN"/>
        </w:rPr>
        <w:t xml:space="preserve">                 Discussion on the proximity indication in connected mode</w:t>
      </w:r>
    </w:p>
    <w:p>
      <w:pPr>
        <w:pStyle w:val="22"/>
        <w:tabs>
          <w:tab w:val="left" w:pos="1800"/>
          <w:tab w:val="clear" w:pos="4536"/>
        </w:tabs>
        <w:spacing w:after="0" w:line="240" w:lineRule="auto"/>
        <w:ind w:left="1800" w:hanging="1800"/>
        <w:rPr>
          <w:rFonts w:cs="Arial"/>
          <w:sz w:val="24"/>
          <w:lang w:eastAsia="zh-CN"/>
        </w:rPr>
      </w:pPr>
      <w:r>
        <w:rPr>
          <w:rFonts w:cs="Arial"/>
          <w:sz w:val="24"/>
        </w:rPr>
        <w:t>Agenda Item:</w:t>
      </w:r>
      <w:bookmarkStart w:id="6" w:name="Source"/>
      <w:bookmarkEnd w:id="6"/>
      <w:r>
        <w:rPr>
          <w:rFonts w:hint="eastAsia" w:cs="Arial"/>
          <w:sz w:val="24"/>
          <w:lang w:eastAsia="zh-CN"/>
        </w:rPr>
        <w:t xml:space="preserve">   </w:t>
      </w:r>
      <w:r>
        <w:rPr>
          <w:rFonts w:hint="eastAsia" w:eastAsia="宋体" w:cs="Arial"/>
          <w:sz w:val="24"/>
          <w:lang w:eastAsia="zh-CN"/>
        </w:rPr>
        <w:t>6</w:t>
      </w:r>
      <w:r>
        <w:rPr>
          <w:rFonts w:cs="Arial"/>
          <w:sz w:val="24"/>
        </w:rPr>
        <w:t>.</w:t>
      </w:r>
      <w:r>
        <w:rPr>
          <w:rFonts w:hint="eastAsia" w:cs="Arial"/>
          <w:sz w:val="24"/>
          <w:lang w:eastAsia="zh-CN"/>
        </w:rPr>
        <w:t>18.3</w:t>
      </w:r>
    </w:p>
    <w:p>
      <w:pPr>
        <w:pStyle w:val="22"/>
        <w:tabs>
          <w:tab w:val="left" w:pos="1800"/>
          <w:tab w:val="clear" w:pos="4536"/>
        </w:tabs>
        <w:spacing w:after="0" w:line="240" w:lineRule="auto"/>
        <w:ind w:left="1800" w:hanging="1800"/>
        <w:rPr>
          <w:rFonts w:cs="Arial"/>
          <w:sz w:val="24"/>
          <w:lang w:eastAsia="zh-CN"/>
        </w:rPr>
      </w:pPr>
      <w:r>
        <w:rPr>
          <w:rFonts w:cs="Arial"/>
          <w:sz w:val="24"/>
        </w:rPr>
        <w:t>Document for:</w:t>
      </w:r>
      <w:bookmarkStart w:id="7" w:name="DocumentFor"/>
      <w:bookmarkEnd w:id="7"/>
      <w:r>
        <w:rPr>
          <w:rFonts w:hint="eastAsia" w:cs="Arial"/>
          <w:sz w:val="24"/>
          <w:lang w:eastAsia="zh-CN"/>
        </w:rPr>
        <w:t xml:space="preserve">  </w:t>
      </w:r>
      <w:r>
        <w:rPr>
          <w:rFonts w:cs="Arial"/>
          <w:sz w:val="24"/>
        </w:rPr>
        <w:t>Discussion and Decision</w:t>
      </w:r>
    </w:p>
    <w:p>
      <w:pPr>
        <w:pStyle w:val="2"/>
        <w:keepLines/>
        <w:numPr>
          <w:ilvl w:val="0"/>
          <w:numId w:val="9"/>
        </w:numPr>
        <w:pBdr>
          <w:top w:val="single" w:color="auto" w:sz="12" w:space="3"/>
        </w:pBdr>
        <w:overflowPunct w:val="0"/>
        <w:autoSpaceDE w:val="0"/>
        <w:autoSpaceDN w:val="0"/>
        <w:adjustRightInd w:val="0"/>
        <w:spacing w:before="240" w:after="180"/>
        <w:textAlignment w:val="baseline"/>
        <w:rPr>
          <w:rFonts w:cs="Times New Roman"/>
          <w:b w:val="0"/>
          <w:bCs w:val="0"/>
          <w:kern w:val="0"/>
          <w:sz w:val="36"/>
          <w:szCs w:val="20"/>
          <w:lang w:val="en-GB"/>
        </w:rPr>
      </w:pPr>
      <w:bookmarkStart w:id="8" w:name="OLE_LINK13"/>
      <w:bookmarkStart w:id="9" w:name="OLE_LINK14"/>
      <w:r>
        <w:rPr>
          <w:rFonts w:hint="eastAsia" w:cs="Times New Roman"/>
          <w:b w:val="0"/>
          <w:bCs w:val="0"/>
          <w:kern w:val="0"/>
          <w:sz w:val="36"/>
          <w:szCs w:val="20"/>
          <w:lang w:val="en-GB" w:eastAsia="en-GB"/>
        </w:rPr>
        <w:t>Introduction</w:t>
      </w:r>
    </w:p>
    <w:p>
      <w:pPr>
        <w:jc w:val="both"/>
        <w:rPr>
          <w:sz w:val="22"/>
          <w:szCs w:val="22"/>
        </w:rPr>
      </w:pPr>
      <w:r>
        <w:rPr>
          <w:sz w:val="22"/>
          <w:szCs w:val="22"/>
        </w:rPr>
        <w:t xml:space="preserve">In </w:t>
      </w:r>
      <w:r>
        <w:rPr>
          <w:rFonts w:hint="eastAsia" w:eastAsia="宋体"/>
          <w:sz w:val="22"/>
          <w:szCs w:val="22"/>
          <w:lang w:eastAsia="zh-CN"/>
        </w:rPr>
        <w:t>RAN2#107bis meeting, RAN2 discussed the support of CAG/SNPN base on the email discussion and the following agreements have been achieved</w:t>
      </w:r>
      <w:r>
        <w:rPr>
          <w:sz w:val="22"/>
          <w:szCs w:val="22"/>
        </w:rPr>
        <w:t>:</w:t>
      </w:r>
    </w:p>
    <w:p>
      <w:pPr>
        <w:pStyle w:val="63"/>
        <w:pBdr>
          <w:top w:val="single" w:color="auto" w:sz="4" w:space="1"/>
          <w:left w:val="single" w:color="auto" w:sz="4" w:space="4"/>
          <w:bottom w:val="single" w:color="auto" w:sz="4" w:space="1"/>
          <w:right w:val="single" w:color="auto" w:sz="4" w:space="4"/>
        </w:pBdr>
      </w:pPr>
      <w:r>
        <w:t>Agreements:</w:t>
      </w:r>
    </w:p>
    <w:p>
      <w:pPr>
        <w:pStyle w:val="63"/>
        <w:numPr>
          <w:ilvl w:val="0"/>
          <w:numId w:val="10"/>
        </w:numPr>
        <w:pBdr>
          <w:top w:val="single" w:color="auto" w:sz="4" w:space="1"/>
          <w:left w:val="single" w:color="auto" w:sz="4" w:space="4"/>
          <w:bottom w:val="single" w:color="auto" w:sz="4" w:space="1"/>
          <w:right w:val="single" w:color="auto" w:sz="4" w:space="4"/>
        </w:pBdr>
      </w:pPr>
      <w:r>
        <w:t>no new mechanism is introduced to handle the priority of a frequency layer of a CAG cell on which the UE is camped (beyond what cellReselectionPriority provides in SIB4 and in RRCRelease).</w:t>
      </w:r>
    </w:p>
    <w:p>
      <w:pPr>
        <w:pStyle w:val="63"/>
        <w:numPr>
          <w:ilvl w:val="0"/>
          <w:numId w:val="10"/>
        </w:numPr>
        <w:pBdr>
          <w:top w:val="single" w:color="auto" w:sz="4" w:space="1"/>
          <w:left w:val="single" w:color="auto" w:sz="4" w:space="4"/>
          <w:bottom w:val="single" w:color="auto" w:sz="4" w:space="1"/>
          <w:right w:val="single" w:color="auto" w:sz="4" w:space="4"/>
        </w:pBdr>
      </w:pPr>
      <w:r>
        <w:t xml:space="preserve">the UE can optionally implement an autonomous search function of CAG cells. FFS on the relationship with dedicated priorities. </w:t>
      </w:r>
    </w:p>
    <w:p>
      <w:pPr>
        <w:pStyle w:val="63"/>
        <w:numPr>
          <w:ilvl w:val="0"/>
          <w:numId w:val="10"/>
        </w:numPr>
        <w:pBdr>
          <w:top w:val="single" w:color="auto" w:sz="4" w:space="1"/>
          <w:left w:val="single" w:color="auto" w:sz="4" w:space="4"/>
          <w:bottom w:val="single" w:color="auto" w:sz="4" w:space="1"/>
          <w:right w:val="single" w:color="auto" w:sz="4" w:space="4"/>
        </w:pBdr>
      </w:pPr>
      <w:r>
        <w:t>reserving a PCI range for CAG cells is purely a deployment issue (does not need to be reflected in the spec)</w:t>
      </w:r>
    </w:p>
    <w:p>
      <w:pPr>
        <w:pStyle w:val="63"/>
        <w:numPr>
          <w:ilvl w:val="0"/>
          <w:numId w:val="10"/>
        </w:numPr>
        <w:pBdr>
          <w:top w:val="single" w:color="auto" w:sz="4" w:space="1"/>
          <w:left w:val="single" w:color="auto" w:sz="4" w:space="4"/>
          <w:bottom w:val="single" w:color="auto" w:sz="4" w:space="1"/>
          <w:right w:val="single" w:color="auto" w:sz="4" w:space="4"/>
        </w:pBdr>
      </w:pPr>
      <w:r>
        <w:t>the PCI list of CAG cells can optionally be signalled to UEs. FFS on details of the list</w:t>
      </w:r>
    </w:p>
    <w:p>
      <w:pPr>
        <w:pStyle w:val="63"/>
        <w:numPr>
          <w:ilvl w:val="0"/>
          <w:numId w:val="10"/>
        </w:numPr>
        <w:pBdr>
          <w:top w:val="single" w:color="auto" w:sz="4" w:space="1"/>
          <w:left w:val="single" w:color="auto" w:sz="4" w:space="4"/>
          <w:bottom w:val="single" w:color="auto" w:sz="4" w:space="1"/>
          <w:right w:val="single" w:color="auto" w:sz="4" w:space="4"/>
        </w:pBdr>
        <w:rPr>
          <w:highlight w:val="yellow"/>
        </w:rPr>
      </w:pPr>
      <w:r>
        <w:rPr>
          <w:highlight w:val="yellow"/>
        </w:rPr>
        <w:t>FFS whether proximity indication in CONNECTED mode is needed</w:t>
      </w:r>
    </w:p>
    <w:p>
      <w:pPr>
        <w:pStyle w:val="63"/>
        <w:numPr>
          <w:ilvl w:val="0"/>
          <w:numId w:val="10"/>
        </w:numPr>
        <w:pBdr>
          <w:top w:val="single" w:color="auto" w:sz="4" w:space="1"/>
          <w:left w:val="single" w:color="auto" w:sz="4" w:space="4"/>
          <w:bottom w:val="single" w:color="auto" w:sz="4" w:space="1"/>
          <w:right w:val="single" w:color="auto" w:sz="4" w:space="4"/>
        </w:pBdr>
      </w:pPr>
      <w:r>
        <w:t xml:space="preserve">no preliminary access check for CAG cells in CONNECTED mode. The Allowed CAG list is provided to the gNB by the AMF. </w:t>
      </w:r>
    </w:p>
    <w:p>
      <w:pPr>
        <w:pStyle w:val="63"/>
        <w:numPr>
          <w:ilvl w:val="0"/>
          <w:numId w:val="10"/>
        </w:numPr>
        <w:pBdr>
          <w:top w:val="single" w:color="auto" w:sz="4" w:space="1"/>
          <w:left w:val="single" w:color="auto" w:sz="4" w:space="4"/>
          <w:bottom w:val="single" w:color="auto" w:sz="4" w:space="1"/>
          <w:right w:val="single" w:color="auto" w:sz="4" w:space="4"/>
        </w:pBdr>
      </w:pPr>
      <w:r>
        <w:t>no new mechanism is introduced to handle the priority of a frequency layer of an SNPN cell on which the UE is camped (beyond what cellReselectionPriority provides in SIB4 and in RRCRelease).</w:t>
      </w:r>
    </w:p>
    <w:p>
      <w:pPr>
        <w:pStyle w:val="63"/>
        <w:numPr>
          <w:ilvl w:val="0"/>
          <w:numId w:val="10"/>
        </w:numPr>
        <w:pBdr>
          <w:top w:val="single" w:color="auto" w:sz="4" w:space="1"/>
          <w:left w:val="single" w:color="auto" w:sz="4" w:space="4"/>
          <w:bottom w:val="single" w:color="auto" w:sz="4" w:space="1"/>
          <w:right w:val="single" w:color="auto" w:sz="4" w:space="4"/>
        </w:pBdr>
      </w:pPr>
      <w:r>
        <w:t>There is no autonomous search function of SNPN cells.</w:t>
      </w:r>
    </w:p>
    <w:p>
      <w:pPr>
        <w:pStyle w:val="63"/>
        <w:numPr>
          <w:ilvl w:val="0"/>
          <w:numId w:val="10"/>
        </w:numPr>
        <w:pBdr>
          <w:top w:val="single" w:color="auto" w:sz="4" w:space="1"/>
          <w:left w:val="single" w:color="auto" w:sz="4" w:space="4"/>
          <w:bottom w:val="single" w:color="auto" w:sz="4" w:space="1"/>
          <w:right w:val="single" w:color="auto" w:sz="4" w:space="4"/>
        </w:pBdr>
      </w:pPr>
      <w:r>
        <w:t>reserving a PCI range for SNPN cells is purely a deployment issue (does not need to be reflected in the spec)</w:t>
      </w:r>
    </w:p>
    <w:p>
      <w:pPr>
        <w:pStyle w:val="63"/>
        <w:numPr>
          <w:ilvl w:val="0"/>
          <w:numId w:val="10"/>
        </w:numPr>
        <w:pBdr>
          <w:top w:val="single" w:color="auto" w:sz="4" w:space="1"/>
          <w:left w:val="single" w:color="auto" w:sz="4" w:space="4"/>
          <w:bottom w:val="single" w:color="auto" w:sz="4" w:space="1"/>
          <w:right w:val="single" w:color="auto" w:sz="4" w:space="4"/>
        </w:pBdr>
      </w:pPr>
      <w:r>
        <w:t xml:space="preserve">FFS whether PCI range of SNPN cells can optionally be signalled to UEs. </w:t>
      </w:r>
    </w:p>
    <w:p>
      <w:pPr>
        <w:pStyle w:val="63"/>
        <w:numPr>
          <w:ilvl w:val="0"/>
          <w:numId w:val="10"/>
        </w:numPr>
        <w:pBdr>
          <w:top w:val="single" w:color="auto" w:sz="4" w:space="1"/>
          <w:left w:val="single" w:color="auto" w:sz="4" w:space="4"/>
          <w:bottom w:val="single" w:color="auto" w:sz="4" w:space="1"/>
          <w:right w:val="single" w:color="auto" w:sz="4" w:space="4"/>
        </w:pBdr>
      </w:pPr>
      <w:r>
        <w:t>No proximity indication in CONNECTED mode is needed for SNPN.</w:t>
      </w:r>
    </w:p>
    <w:p>
      <w:pPr>
        <w:pStyle w:val="63"/>
        <w:numPr>
          <w:ilvl w:val="0"/>
          <w:numId w:val="10"/>
        </w:numPr>
        <w:pBdr>
          <w:top w:val="single" w:color="auto" w:sz="4" w:space="1"/>
          <w:left w:val="single" w:color="auto" w:sz="4" w:space="4"/>
          <w:bottom w:val="single" w:color="auto" w:sz="4" w:space="1"/>
          <w:right w:val="single" w:color="auto" w:sz="4" w:space="4"/>
        </w:pBdr>
      </w:pPr>
      <w:r>
        <w:t>no preliminary access check for SNPN cells in CONNECTED mode.</w:t>
      </w:r>
    </w:p>
    <w:p>
      <w:pPr>
        <w:jc w:val="both"/>
        <w:rPr>
          <w:sz w:val="22"/>
          <w:szCs w:val="22"/>
          <w:lang w:eastAsia="zh-CN"/>
        </w:rPr>
      </w:pPr>
      <w:r>
        <w:rPr>
          <w:rFonts w:hint="eastAsia" w:eastAsia="宋体"/>
          <w:sz w:val="22"/>
          <w:szCs w:val="22"/>
          <w:lang w:eastAsia="zh-CN"/>
        </w:rPr>
        <w:t>In this contribution, we will discuss whether proximity indication is needed for CAG.</w:t>
      </w:r>
    </w:p>
    <w:p>
      <w:pPr>
        <w:pStyle w:val="2"/>
        <w:keepLines/>
        <w:numPr>
          <w:ilvl w:val="0"/>
          <w:numId w:val="9"/>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hint="eastAsia" w:cs="Times New Roman"/>
          <w:b w:val="0"/>
          <w:bCs w:val="0"/>
          <w:kern w:val="0"/>
          <w:sz w:val="36"/>
          <w:szCs w:val="20"/>
          <w:lang w:val="fr-FR"/>
        </w:rPr>
        <w:t>Discussion</w:t>
      </w:r>
    </w:p>
    <w:p>
      <w:pPr>
        <w:jc w:val="both"/>
        <w:rPr>
          <w:rFonts w:eastAsia="宋体"/>
          <w:sz w:val="22"/>
          <w:szCs w:val="22"/>
          <w:lang w:eastAsia="zh-CN"/>
        </w:rPr>
      </w:pPr>
      <w:r>
        <w:rPr>
          <w:rFonts w:hint="eastAsia" w:eastAsia="宋体"/>
          <w:sz w:val="22"/>
          <w:szCs w:val="22"/>
          <w:lang w:eastAsia="zh-CN"/>
        </w:rPr>
        <w:t>For CSG, NW can configure UE to provide proximity indication based on UE reported proximity indication related capability and UE will provide proximity indication when the related conditions are satisfied as Fig.1. When the Connected CSG UE finds that it is entering a CSG areas or it is leaving a CSG areas, it will inform network by initialing proximity indication procedure. Based on the indication information, the network can decide whether</w:t>
      </w:r>
      <w:r>
        <w:rPr>
          <w:rFonts w:eastAsia="宋体"/>
          <w:sz w:val="22"/>
          <w:szCs w:val="22"/>
          <w:lang w:eastAsia="zh-CN"/>
        </w:rPr>
        <w:t xml:space="preserve"> it needs to</w:t>
      </w:r>
      <w:r>
        <w:rPr>
          <w:rFonts w:hint="eastAsia" w:eastAsia="宋体"/>
          <w:sz w:val="22"/>
          <w:szCs w:val="22"/>
          <w:lang w:eastAsia="zh-CN"/>
        </w:rPr>
        <w:t xml:space="preserve"> handover the UE to the another CSG member cell of UE or normal cell. </w:t>
      </w:r>
    </w:p>
    <w:p>
      <w:pPr>
        <w:pStyle w:val="33"/>
      </w:pPr>
      <w:r>
        <w:object>
          <v:shape id="_x0000_i1025" o:spt="75" type="#_x0000_t75" style="height:110.25pt;width:299.25pt;" o:ole="t" filled="f" o:preferrelative="t" stroked="f" coordsize="21600,21600">
            <v:path/>
            <v:fill on="f" focussize="0,0"/>
            <v:stroke on="f" joinstyle="miter"/>
            <v:imagedata r:id="rId6" o:title=""/>
            <o:lock v:ext="edit" aspectratio="t"/>
            <w10:wrap type="none"/>
            <w10:anchorlock/>
          </v:shape>
          <o:OLEObject Type="Embed" ProgID="Word.Document.8" ShapeID="_x0000_i1025" DrawAspect="Content" ObjectID="_1468075725" r:id="rId5">
            <o:LockedField>false</o:LockedField>
          </o:OLEObject>
        </w:object>
      </w:r>
    </w:p>
    <w:p>
      <w:pPr>
        <w:pStyle w:val="34"/>
        <w:rPr>
          <w:rFonts w:eastAsia="宋体"/>
          <w:iCs/>
          <w:sz w:val="21"/>
          <w:szCs w:val="28"/>
          <w:lang w:val="en-US" w:eastAsia="zh-CN"/>
        </w:rPr>
      </w:pPr>
      <w:r>
        <w:t>Figure 1: Proximity indication</w:t>
      </w:r>
    </w:p>
    <w:p>
      <w:pPr>
        <w:jc w:val="both"/>
        <w:rPr>
          <w:rFonts w:eastAsia="宋体"/>
          <w:sz w:val="22"/>
          <w:szCs w:val="32"/>
          <w:lang w:eastAsia="zh-CN"/>
        </w:rPr>
      </w:pPr>
      <w:r>
        <w:rPr>
          <w:rFonts w:hint="eastAsia" w:eastAsia="宋体"/>
          <w:sz w:val="22"/>
          <w:szCs w:val="32"/>
          <w:lang w:eastAsia="zh-CN"/>
        </w:rPr>
        <w:t xml:space="preserve">One reason for introducing proximity indication procedure is that NW may have no knowledge of the location information of CSG cell (e.g. </w:t>
      </w:r>
      <w:r>
        <w:fldChar w:fldCharType="begin"/>
      </w:r>
      <w:r>
        <w:instrText xml:space="preserve"> HYPERLINK "D:/Dict/8.5.3.0/resultui/html/index.html" \l "/javascript:;" </w:instrText>
      </w:r>
      <w:r>
        <w:fldChar w:fldCharType="separate"/>
      </w:r>
      <w:r>
        <w:rPr>
          <w:rFonts w:eastAsia="宋体"/>
          <w:sz w:val="22"/>
          <w:szCs w:val="32"/>
          <w:lang w:eastAsia="zh-CN"/>
        </w:rPr>
        <w:t>geographical</w:t>
      </w:r>
      <w:r>
        <w:rPr>
          <w:rFonts w:eastAsia="宋体"/>
          <w:sz w:val="22"/>
          <w:szCs w:val="32"/>
          <w:lang w:eastAsia="zh-CN"/>
        </w:rPr>
        <w:fldChar w:fldCharType="end"/>
      </w:r>
      <w:r>
        <w:rPr>
          <w:rFonts w:eastAsia="宋体"/>
          <w:sz w:val="22"/>
          <w:szCs w:val="32"/>
          <w:lang w:eastAsia="zh-CN"/>
        </w:rPr>
        <w:t> </w:t>
      </w:r>
      <w:r>
        <w:fldChar w:fldCharType="begin"/>
      </w:r>
      <w:r>
        <w:instrText xml:space="preserve"> HYPERLINK "D:/Dict/8.5.3.0/resultui/html/index.html" \l "/javascript:;" </w:instrText>
      </w:r>
      <w:r>
        <w:fldChar w:fldCharType="separate"/>
      </w:r>
      <w:r>
        <w:rPr>
          <w:rFonts w:eastAsia="宋体"/>
          <w:sz w:val="22"/>
          <w:szCs w:val="32"/>
          <w:lang w:eastAsia="zh-CN"/>
        </w:rPr>
        <w:t>location</w:t>
      </w:r>
      <w:r>
        <w:rPr>
          <w:rFonts w:eastAsia="宋体"/>
          <w:sz w:val="22"/>
          <w:szCs w:val="32"/>
          <w:lang w:eastAsia="zh-CN"/>
        </w:rPr>
        <w:fldChar w:fldCharType="end"/>
      </w:r>
      <w:r>
        <w:rPr>
          <w:rFonts w:eastAsia="宋体"/>
          <w:sz w:val="22"/>
          <w:szCs w:val="32"/>
          <w:lang w:eastAsia="zh-CN"/>
        </w:rPr>
        <w:t> </w:t>
      </w:r>
      <w:r>
        <w:fldChar w:fldCharType="begin"/>
      </w:r>
      <w:r>
        <w:instrText xml:space="preserve"> HYPERLINK "D:/Dict/8.5.3.0/resultui/html/index.html" \l "/javascript:;" </w:instrText>
      </w:r>
      <w:r>
        <w:fldChar w:fldCharType="separate"/>
      </w:r>
      <w:r>
        <w:rPr>
          <w:rFonts w:eastAsia="宋体"/>
          <w:sz w:val="22"/>
          <w:szCs w:val="32"/>
          <w:lang w:eastAsia="zh-CN"/>
        </w:rPr>
        <w:t>information</w:t>
      </w:r>
      <w:r>
        <w:rPr>
          <w:rFonts w:eastAsia="宋体"/>
          <w:sz w:val="22"/>
          <w:szCs w:val="32"/>
          <w:lang w:eastAsia="zh-CN"/>
        </w:rPr>
        <w:fldChar w:fldCharType="end"/>
      </w:r>
      <w:r>
        <w:rPr>
          <w:rFonts w:hint="eastAsia" w:eastAsia="宋体"/>
          <w:sz w:val="22"/>
          <w:szCs w:val="32"/>
          <w:lang w:eastAsia="zh-CN"/>
        </w:rPr>
        <w:t xml:space="preserve"> and frequency deployment information).  Thus, it is useful for measurement configuration and mobility control. For CAG, the NW may also have no knowledge of CAG cell, for example:</w:t>
      </w:r>
    </w:p>
    <w:p>
      <w:pPr>
        <w:pStyle w:val="76"/>
        <w:jc w:val="both"/>
        <w:rPr>
          <w:rFonts w:hint="eastAsia"/>
          <w:sz w:val="21"/>
          <w:lang w:eastAsia="zh-CN"/>
        </w:rPr>
      </w:pPr>
      <w:r>
        <w:t>-</w:t>
      </w:r>
      <w:r>
        <w:tab/>
      </w:r>
      <w:r>
        <w:rPr>
          <w:rFonts w:hint="eastAsia"/>
          <w:sz w:val="21"/>
          <w:lang w:eastAsia="zh-CN"/>
        </w:rPr>
        <w:t xml:space="preserve">A new NW node with cell providing CAG access is deployed, the neighbor NW node do not update and store the new deployed cell information in time. </w:t>
      </w:r>
    </w:p>
    <w:p>
      <w:pPr>
        <w:pStyle w:val="76"/>
        <w:jc w:val="both"/>
        <w:rPr>
          <w:sz w:val="21"/>
          <w:lang w:eastAsia="zh-CN"/>
        </w:rPr>
      </w:pPr>
      <w:r>
        <w:t>-</w:t>
      </w:r>
      <w:r>
        <w:tab/>
      </w:r>
      <w:r>
        <w:rPr>
          <w:rFonts w:hint="eastAsia"/>
          <w:sz w:val="21"/>
          <w:lang w:eastAsia="zh-CN"/>
        </w:rPr>
        <w:t>In addition, it is possible that the neighb</w:t>
      </w:r>
      <w:r>
        <w:rPr>
          <w:sz w:val="21"/>
          <w:lang w:eastAsia="zh-CN"/>
        </w:rPr>
        <w:t>o</w:t>
      </w:r>
      <w:r>
        <w:rPr>
          <w:rFonts w:hint="eastAsia"/>
          <w:sz w:val="21"/>
          <w:lang w:eastAsia="zh-CN"/>
        </w:rPr>
        <w:t xml:space="preserve">r NW node cannot achieve the new deployed cell information due to the lack of coordination between nodes. </w:t>
      </w:r>
    </w:p>
    <w:p>
      <w:pPr>
        <w:jc w:val="both"/>
        <w:rPr>
          <w:rFonts w:eastAsia="宋体"/>
          <w:b/>
          <w:bCs/>
          <w:sz w:val="22"/>
          <w:szCs w:val="32"/>
          <w:lang w:eastAsia="zh-CN"/>
        </w:rPr>
      </w:pPr>
      <w:r>
        <w:rPr>
          <w:rFonts w:hint="eastAsia" w:eastAsia="宋体"/>
          <w:b/>
          <w:bCs/>
          <w:sz w:val="22"/>
          <w:szCs w:val="32"/>
          <w:lang w:eastAsia="zh-CN"/>
        </w:rPr>
        <w:t>Observation: NW may have no knowledge of neighbor CAG cell information, e.g. under the case that no coordination between NW nodes.</w:t>
      </w:r>
    </w:p>
    <w:p>
      <w:pPr>
        <w:pStyle w:val="58"/>
        <w:ind w:left="0" w:firstLine="0"/>
        <w:rPr>
          <w:sz w:val="22"/>
          <w:szCs w:val="22"/>
        </w:rPr>
      </w:pPr>
      <w:bookmarkStart w:id="10" w:name="OLE_LINK21"/>
      <w:bookmarkStart w:id="11" w:name="OLE_LINK28"/>
      <w:bookmarkStart w:id="12" w:name="OLE_LINK30"/>
      <w:bookmarkStart w:id="13" w:name="OLE_LINK31"/>
      <w:bookmarkStart w:id="14" w:name="OLE_LINK22"/>
      <w:bookmarkStart w:id="15" w:name="OLE_LINK23"/>
      <w:bookmarkStart w:id="16" w:name="OLE_LINK29"/>
      <w:bookmarkStart w:id="17" w:name="OLE_LINK24"/>
      <w:r>
        <w:rPr>
          <w:sz w:val="22"/>
          <w:szCs w:val="22"/>
        </w:rPr>
        <w:t>Based on the Mobility Restrictions received from the AMF</w:t>
      </w:r>
      <w:r>
        <w:rPr>
          <w:rFonts w:hint="eastAsia" w:eastAsia="宋体"/>
          <w:sz w:val="22"/>
          <w:szCs w:val="22"/>
          <w:lang w:val="en-US" w:eastAsia="zh-CN"/>
        </w:rPr>
        <w:t>, the corresponding behavior of source NG-RAN is specified as following, which is captured in TS 23.501</w:t>
      </w:r>
      <w:r>
        <w:rPr>
          <w:sz w:val="22"/>
          <w:szCs w:val="22"/>
        </w:rPr>
        <w:t>:</w:t>
      </w:r>
    </w:p>
    <w:p>
      <w:pPr>
        <w:pStyle w:val="76"/>
      </w:pPr>
      <w:r>
        <w:t>-</w:t>
      </w:r>
      <w:r>
        <w:tab/>
      </w:r>
      <w:r>
        <w:t>Source NG-RAN shall not handover the UE to a target NG-RAN node if the target is a CAG cell and the related CAG Identifier is not part of the UE's Allowed CAG list;</w:t>
      </w:r>
    </w:p>
    <w:p>
      <w:pPr>
        <w:pStyle w:val="76"/>
      </w:pPr>
      <w:r>
        <w:t>-</w:t>
      </w:r>
      <w:r>
        <w:tab/>
      </w:r>
      <w:r>
        <w:t>Source NG-RAN shall not handover the UE to a non-CAG cell if the UE is only allowed to access CAG cells;</w:t>
      </w:r>
    </w:p>
    <w:p>
      <w:pPr>
        <w:jc w:val="both"/>
      </w:pPr>
      <w:r>
        <w:rPr>
          <w:rFonts w:hint="eastAsia" w:eastAsia="宋体"/>
          <w:sz w:val="22"/>
          <w:szCs w:val="22"/>
          <w:lang w:eastAsia="zh-CN"/>
        </w:rPr>
        <w:t>As NG-RAN node has the knowledge of the Allowed CAG list and CAG-only indication (if any) of UE, the NG-RAN node can know for a specific UE which kind of cell is not allowed to handover to.</w:t>
      </w:r>
      <w:r>
        <w:rPr>
          <w:rFonts w:hint="eastAsia" w:eastAsia="宋体"/>
          <w:sz w:val="22"/>
          <w:szCs w:val="32"/>
          <w:lang w:eastAsia="zh-CN"/>
        </w:rPr>
        <w:t xml:space="preserve"> The main problem is that </w:t>
      </w:r>
      <w:r>
        <w:rPr>
          <w:rFonts w:hint="eastAsia" w:eastAsia="宋体"/>
          <w:sz w:val="22"/>
          <w:szCs w:val="22"/>
          <w:lang w:eastAsia="zh-CN"/>
        </w:rPr>
        <w:t>NW needs to know whether and when a UE</w:t>
      </w:r>
      <w:r>
        <w:rPr>
          <w:sz w:val="22"/>
          <w:szCs w:val="22"/>
        </w:rPr>
        <w:t xml:space="preserve"> is </w:t>
      </w:r>
      <w:r>
        <w:rPr>
          <w:rFonts w:hint="eastAsia" w:eastAsia="宋体"/>
          <w:sz w:val="22"/>
          <w:szCs w:val="22"/>
          <w:lang w:eastAsia="zh-CN"/>
        </w:rPr>
        <w:t>in the service area of its CAG member cell. Compared with CSG, CAG only UE has more strict access restriction. Thus, it is important that CAG UE can find a CAG member to obtain service. If the CAG only UE cannot find a cell which is suitable for handover while find a CAG member cell by autonomous search function, UE can report to NW for mobility control.</w:t>
      </w:r>
    </w:p>
    <w:p>
      <w:pPr>
        <w:pStyle w:val="14"/>
        <w:jc w:val="both"/>
        <w:rPr>
          <w:rFonts w:eastAsiaTheme="minorEastAsia"/>
          <w:lang w:eastAsia="zh-CN"/>
        </w:rPr>
      </w:pPr>
      <w:r>
        <w:rPr>
          <w:rFonts w:hint="eastAsia"/>
          <w:b/>
          <w:sz w:val="22"/>
          <w:szCs w:val="22"/>
          <w:lang w:eastAsia="zh-CN"/>
        </w:rPr>
        <w:t>Proposal: The Proximity</w:t>
      </w:r>
      <w:r>
        <w:rPr>
          <w:b/>
          <w:sz w:val="22"/>
          <w:szCs w:val="22"/>
          <w:lang w:eastAsia="zh-CN"/>
        </w:rPr>
        <w:t xml:space="preserve"> </w:t>
      </w:r>
      <w:r>
        <w:rPr>
          <w:rFonts w:hint="eastAsia"/>
          <w:b/>
          <w:sz w:val="22"/>
          <w:szCs w:val="22"/>
          <w:lang w:eastAsia="zh-CN"/>
        </w:rPr>
        <w:t>Indication in connected mode is needed for CAG.</w:t>
      </w:r>
    </w:p>
    <w:bookmarkEnd w:id="10"/>
    <w:bookmarkEnd w:id="11"/>
    <w:bookmarkEnd w:id="12"/>
    <w:bookmarkEnd w:id="13"/>
    <w:bookmarkEnd w:id="14"/>
    <w:bookmarkEnd w:id="15"/>
    <w:bookmarkEnd w:id="16"/>
    <w:bookmarkEnd w:id="17"/>
    <w:p>
      <w:pPr>
        <w:pStyle w:val="2"/>
        <w:keepLines/>
        <w:numPr>
          <w:ilvl w:val="0"/>
          <w:numId w:val="9"/>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hint="eastAsia" w:cs="Times New Roman"/>
          <w:b w:val="0"/>
          <w:bCs w:val="0"/>
          <w:kern w:val="0"/>
          <w:sz w:val="36"/>
          <w:szCs w:val="20"/>
          <w:lang w:val="fr-FR"/>
        </w:rPr>
        <w:t>Conclusion</w:t>
      </w:r>
    </w:p>
    <w:p>
      <w:pPr>
        <w:pStyle w:val="19"/>
        <w:jc w:val="both"/>
        <w:rPr>
          <w:rFonts w:eastAsia="宋体"/>
          <w:sz w:val="22"/>
          <w:szCs w:val="22"/>
          <w:lang w:eastAsia="zh-CN"/>
        </w:rPr>
      </w:pPr>
      <w:r>
        <w:rPr>
          <w:rFonts w:eastAsia="宋体"/>
          <w:sz w:val="22"/>
          <w:szCs w:val="22"/>
          <w:lang w:eastAsia="zh-CN"/>
        </w:rPr>
        <w:t>In this</w:t>
      </w:r>
      <w:r>
        <w:rPr>
          <w:rFonts w:hint="eastAsia" w:eastAsia="宋体"/>
          <w:sz w:val="22"/>
          <w:szCs w:val="22"/>
          <w:lang w:eastAsia="zh-CN"/>
        </w:rPr>
        <w:t xml:space="preserve"> contribution, </w:t>
      </w:r>
      <w:r>
        <w:rPr>
          <w:rFonts w:eastAsia="宋体"/>
          <w:sz w:val="22"/>
          <w:szCs w:val="22"/>
          <w:lang w:eastAsia="zh-CN"/>
        </w:rPr>
        <w:t>we discuss</w:t>
      </w:r>
      <w:r>
        <w:rPr>
          <w:rFonts w:hint="eastAsia" w:eastAsia="宋体"/>
          <w:sz w:val="22"/>
          <w:szCs w:val="22"/>
          <w:lang w:eastAsia="zh-CN"/>
        </w:rPr>
        <w:t xml:space="preserve"> the mobility control of connected UE for CAG</w:t>
      </w:r>
      <w:r>
        <w:rPr>
          <w:rFonts w:hint="eastAsia" w:eastAsiaTheme="minorEastAsia"/>
          <w:sz w:val="22"/>
          <w:szCs w:val="22"/>
          <w:lang w:eastAsia="zh-CN"/>
        </w:rPr>
        <w:t>, and the related proposals are as following</w:t>
      </w:r>
      <w:r>
        <w:rPr>
          <w:rFonts w:eastAsia="宋体"/>
          <w:sz w:val="22"/>
          <w:szCs w:val="22"/>
          <w:lang w:eastAsia="zh-CN"/>
        </w:rPr>
        <w:t>:</w:t>
      </w:r>
    </w:p>
    <w:p>
      <w:pPr>
        <w:jc w:val="both"/>
        <w:rPr>
          <w:lang w:eastAsia="zh-CN"/>
        </w:rPr>
      </w:pPr>
      <w:r>
        <w:rPr>
          <w:rFonts w:hint="eastAsia" w:eastAsia="宋体"/>
          <w:b/>
          <w:bCs/>
          <w:sz w:val="22"/>
          <w:szCs w:val="32"/>
          <w:lang w:eastAsia="zh-CN"/>
        </w:rPr>
        <w:t>Observation: NW may have no knowledge of neighbor CAG cell information, e.g. under the case that no coordination between NW nodes.</w:t>
      </w:r>
    </w:p>
    <w:bookmarkEnd w:id="8"/>
    <w:bookmarkEnd w:id="9"/>
    <w:p>
      <w:pPr>
        <w:pStyle w:val="14"/>
        <w:jc w:val="both"/>
        <w:rPr>
          <w:rFonts w:eastAsiaTheme="minorEastAsia"/>
          <w:lang w:eastAsia="zh-CN"/>
        </w:rPr>
      </w:pPr>
      <w:r>
        <w:rPr>
          <w:rFonts w:hint="eastAsia"/>
          <w:b/>
          <w:sz w:val="22"/>
          <w:szCs w:val="22"/>
          <w:lang w:eastAsia="zh-CN"/>
        </w:rPr>
        <w:t>Proposal: The Proximity</w:t>
      </w:r>
      <w:r>
        <w:rPr>
          <w:b/>
          <w:sz w:val="22"/>
          <w:szCs w:val="22"/>
          <w:lang w:eastAsia="zh-CN"/>
        </w:rPr>
        <w:t xml:space="preserve"> </w:t>
      </w:r>
      <w:r>
        <w:rPr>
          <w:rFonts w:hint="eastAsia"/>
          <w:b/>
          <w:sz w:val="22"/>
          <w:szCs w:val="22"/>
          <w:lang w:eastAsia="zh-CN"/>
        </w:rPr>
        <w:t>Indication in connected mode is needed for CAG.</w:t>
      </w:r>
    </w:p>
    <w:p>
      <w:pPr>
        <w:keepNext/>
        <w:keepLines/>
        <w:numPr>
          <w:ilvl w:val="0"/>
          <w:numId w:val="9"/>
        </w:numPr>
        <w:pBdr>
          <w:top w:val="single" w:color="auto" w:sz="12" w:space="3"/>
        </w:pBdr>
        <w:tabs>
          <w:tab w:val="clear" w:pos="425"/>
        </w:tabs>
        <w:overflowPunct w:val="0"/>
        <w:autoSpaceDE w:val="0"/>
        <w:autoSpaceDN w:val="0"/>
        <w:adjustRightInd w:val="0"/>
        <w:spacing w:before="240" w:after="180"/>
        <w:textAlignment w:val="baseline"/>
        <w:outlineLvl w:val="0"/>
        <w:rPr>
          <w:rFonts w:ascii="Arial" w:hAnsi="Arial" w:eastAsia="宋体"/>
          <w:sz w:val="36"/>
          <w:szCs w:val="20"/>
          <w:lang w:val="en-GB" w:eastAsia="en-GB"/>
        </w:rPr>
      </w:pPr>
      <w:r>
        <w:rPr>
          <w:rFonts w:ascii="Arial" w:hAnsi="Arial" w:eastAsia="宋体"/>
          <w:sz w:val="36"/>
          <w:szCs w:val="20"/>
          <w:lang w:val="en-GB" w:eastAsia="en-GB"/>
        </w:rPr>
        <w:t>Reference</w:t>
      </w:r>
    </w:p>
    <w:p>
      <w:pPr>
        <w:pStyle w:val="15"/>
        <w:numPr>
          <w:ilvl w:val="0"/>
          <w:numId w:val="11"/>
        </w:numPr>
        <w:snapToGrid w:val="0"/>
        <w:spacing w:line="268" w:lineRule="auto"/>
        <w:contextualSpacing/>
        <w:rPr>
          <w:iCs/>
          <w:sz w:val="22"/>
          <w:szCs w:val="22"/>
        </w:rPr>
      </w:pPr>
      <w:r>
        <w:rPr>
          <w:iCs/>
          <w:sz w:val="22"/>
          <w:szCs w:val="22"/>
        </w:rPr>
        <w:t>RP-190</w:t>
      </w:r>
      <w:r>
        <w:rPr>
          <w:rFonts w:hint="eastAsia"/>
          <w:iCs/>
          <w:sz w:val="22"/>
          <w:szCs w:val="22"/>
          <w:lang w:eastAsia="zh-CN"/>
        </w:rPr>
        <w:t xml:space="preserve">729, WID </w:t>
      </w:r>
      <w:r>
        <w:rPr>
          <w:iCs/>
          <w:sz w:val="22"/>
          <w:szCs w:val="22"/>
          <w:lang w:eastAsia="zh-CN"/>
        </w:rPr>
        <w:t xml:space="preserve">on </w:t>
      </w:r>
      <w:r>
        <w:rPr>
          <w:iCs/>
          <w:sz w:val="22"/>
          <w:szCs w:val="22"/>
        </w:rPr>
        <w:t xml:space="preserve">Private </w:t>
      </w:r>
      <w:r>
        <w:rPr>
          <w:rFonts w:hint="eastAsia"/>
          <w:iCs/>
          <w:sz w:val="22"/>
          <w:szCs w:val="22"/>
          <w:lang w:eastAsia="zh-CN"/>
        </w:rPr>
        <w:t>Network Support for NG-RAN.</w:t>
      </w:r>
    </w:p>
    <w:p>
      <w:pPr>
        <w:pStyle w:val="15"/>
        <w:numPr>
          <w:ilvl w:val="0"/>
          <w:numId w:val="11"/>
        </w:numPr>
        <w:snapToGrid w:val="0"/>
        <w:spacing w:line="268" w:lineRule="auto"/>
        <w:contextualSpacing/>
        <w:rPr>
          <w:rFonts w:eastAsiaTheme="minorEastAsia"/>
          <w:sz w:val="22"/>
          <w:szCs w:val="22"/>
          <w:lang w:val="en-GB" w:eastAsia="zh-CN"/>
        </w:rPr>
      </w:pPr>
      <w:bookmarkStart w:id="18" w:name="_Ref4876"/>
      <w:r>
        <w:rPr>
          <w:sz w:val="22"/>
          <w:szCs w:val="22"/>
        </w:rPr>
        <w:t>3GPP TS 2</w:t>
      </w:r>
      <w:r>
        <w:rPr>
          <w:rFonts w:hint="eastAsia" w:eastAsia="宋体"/>
          <w:sz w:val="22"/>
          <w:szCs w:val="22"/>
          <w:lang w:eastAsia="zh-CN"/>
        </w:rPr>
        <w:t>3</w:t>
      </w:r>
      <w:r>
        <w:rPr>
          <w:sz w:val="22"/>
          <w:szCs w:val="22"/>
        </w:rPr>
        <w:t>.</w:t>
      </w:r>
      <w:r>
        <w:rPr>
          <w:rFonts w:hint="eastAsia" w:eastAsia="宋体"/>
          <w:sz w:val="22"/>
          <w:szCs w:val="22"/>
          <w:lang w:eastAsia="zh-CN"/>
        </w:rPr>
        <w:t>501</w:t>
      </w:r>
      <w:r>
        <w:rPr>
          <w:sz w:val="22"/>
          <w:szCs w:val="22"/>
        </w:rPr>
        <w:t xml:space="preserve">, </w:t>
      </w:r>
      <w:bookmarkEnd w:id="18"/>
      <w:r>
        <w:t>System Architecture for the 5G System</w:t>
      </w:r>
      <w:r>
        <w:rPr>
          <w:rFonts w:hint="eastAsia" w:eastAsia="宋体"/>
          <w:lang w:eastAsia="zh-CN"/>
        </w:rPr>
        <w:t>.</w:t>
      </w:r>
    </w:p>
    <w:sectPr>
      <w:headerReference r:id="rId3" w:type="default"/>
      <w:pgSz w:w="11906" w:h="16838"/>
      <w:pgMar w:top="284"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Arial Bold">
    <w:altName w:val="Arial"/>
    <w:panose1 w:val="020B0704020202020204"/>
    <w:charset w:val="00"/>
    <w:family w:val="roman"/>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252CEF"/>
    <w:multiLevelType w:val="multilevel"/>
    <w:tmpl w:val="13252CEF"/>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3AA46647"/>
    <w:multiLevelType w:val="multilevel"/>
    <w:tmpl w:val="3AA46647"/>
    <w:lvl w:ilvl="0" w:tentative="0">
      <w:start w:val="1"/>
      <w:numFmt w:val="decimal"/>
      <w:pStyle w:val="7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0DE34BC"/>
    <w:multiLevelType w:val="singleLevel"/>
    <w:tmpl w:val="40DE34BC"/>
    <w:lvl w:ilvl="0" w:tentative="0">
      <w:start w:val="1"/>
      <w:numFmt w:val="decimal"/>
      <w:pStyle w:val="38"/>
      <w:lvlText w:val="%1."/>
      <w:lvlJc w:val="left"/>
      <w:pPr>
        <w:tabs>
          <w:tab w:val="left" w:pos="360"/>
        </w:tabs>
        <w:ind w:left="360" w:hanging="360"/>
      </w:pPr>
    </w:lvl>
  </w:abstractNum>
  <w:abstractNum w:abstractNumId="3">
    <w:nsid w:val="4BDF65F6"/>
    <w:multiLevelType w:val="multilevel"/>
    <w:tmpl w:val="4BDF65F6"/>
    <w:lvl w:ilvl="0" w:tentative="0">
      <w:start w:val="1"/>
      <w:numFmt w:val="decimal"/>
      <w:pStyle w:val="6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7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6815BE2"/>
    <w:multiLevelType w:val="multilevel"/>
    <w:tmpl w:val="56815BE2"/>
    <w:lvl w:ilvl="0" w:tentative="0">
      <w:start w:val="1"/>
      <w:numFmt w:val="decimal"/>
      <w:pStyle w:val="37"/>
      <w:lvlText w:val="[%1]"/>
      <w:lvlJc w:val="left"/>
      <w:pPr>
        <w:tabs>
          <w:tab w:val="left" w:pos="567"/>
        </w:tabs>
        <w:ind w:left="0" w:firstLine="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6D6C0433"/>
    <w:multiLevelType w:val="multilevel"/>
    <w:tmpl w:val="6D6C0433"/>
    <w:lvl w:ilvl="0" w:tentative="0">
      <w:start w:val="1"/>
      <w:numFmt w:val="decimal"/>
      <w:lvlText w:val="%1."/>
      <w:lvlJc w:val="left"/>
      <w:pPr>
        <w:tabs>
          <w:tab w:val="left" w:pos="425"/>
        </w:tabs>
        <w:ind w:left="425" w:hanging="425"/>
      </w:pPr>
      <w:rPr>
        <w:lang w:val="en-US"/>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7">
    <w:nsid w:val="70146DC0"/>
    <w:multiLevelType w:val="multilevel"/>
    <w:tmpl w:val="70146DC0"/>
    <w:lvl w:ilvl="0" w:tentative="0">
      <w:start w:val="1"/>
      <w:numFmt w:val="bullet"/>
      <w:pStyle w:val="7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36D6E2A"/>
    <w:multiLevelType w:val="multilevel"/>
    <w:tmpl w:val="736D6E2A"/>
    <w:lvl w:ilvl="0" w:tentative="0">
      <w:start w:val="1"/>
      <w:numFmt w:val="decimal"/>
      <w:pStyle w:val="1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lvlText w:val="%1.%2."/>
      <w:lvlJc w:val="left"/>
      <w:pPr>
        <w:tabs>
          <w:tab w:val="left" w:pos="567"/>
        </w:tabs>
        <w:ind w:left="567" w:hanging="567"/>
      </w:pPr>
      <w:rPr>
        <w:rFonts w:hint="default"/>
        <w:u w:val="none"/>
      </w:rPr>
    </w:lvl>
    <w:lvl w:ilvl="2" w:tentative="0">
      <w:start w:val="1"/>
      <w:numFmt w:val="decimal"/>
      <w:pStyle w:val="4"/>
      <w:lvlText w:val="%1.%2.%3"/>
      <w:lvlJc w:val="left"/>
      <w:pPr>
        <w:tabs>
          <w:tab w:val="left" w:pos="-5500"/>
        </w:tabs>
        <w:ind w:left="-2949" w:hanging="1304"/>
      </w:pPr>
      <w:rPr>
        <w:rFonts w:hint="default"/>
        <w:u w:val="none"/>
      </w:rPr>
    </w:lvl>
    <w:lvl w:ilvl="3" w:tentative="0">
      <w:start w:val="1"/>
      <w:numFmt w:val="decimal"/>
      <w:pStyle w:val="5"/>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abstractNum w:abstractNumId="10">
    <w:nsid w:val="7D4A5B23"/>
    <w:multiLevelType w:val="multilevel"/>
    <w:tmpl w:val="7D4A5B23"/>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num w:numId="1">
    <w:abstractNumId w:val="9"/>
  </w:num>
  <w:num w:numId="2">
    <w:abstractNumId w:val="8"/>
  </w:num>
  <w:num w:numId="3">
    <w:abstractNumId w:val="5"/>
  </w:num>
  <w:num w:numId="4">
    <w:abstractNumId w:val="2"/>
  </w:num>
  <w:num w:numId="5">
    <w:abstractNumId w:val="3"/>
  </w:num>
  <w:num w:numId="6">
    <w:abstractNumId w:val="4"/>
  </w:num>
  <w:num w:numId="7">
    <w:abstractNumId w:val="1"/>
  </w:num>
  <w:num w:numId="8">
    <w:abstractNumId w:val="7"/>
  </w:num>
  <w:num w:numId="9">
    <w:abstractNumId w:val="6"/>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noPunctuationKerning w:val="1"/>
  <w:characterSpacingControl w:val="doNotCompress"/>
  <w:compat>
    <w:doNotExpandShiftReturn/>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42"/>
    <w:rsid w:val="000260C1"/>
    <w:rsid w:val="0002645B"/>
    <w:rsid w:val="00026646"/>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B4C"/>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C74"/>
    <w:rsid w:val="00067D9C"/>
    <w:rsid w:val="00070B88"/>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555C"/>
    <w:rsid w:val="000B5D7B"/>
    <w:rsid w:val="000B5F99"/>
    <w:rsid w:val="000B6824"/>
    <w:rsid w:val="000B6BBD"/>
    <w:rsid w:val="000C0172"/>
    <w:rsid w:val="000C06A6"/>
    <w:rsid w:val="000C0DE3"/>
    <w:rsid w:val="000C1001"/>
    <w:rsid w:val="000C12BA"/>
    <w:rsid w:val="000C1B5F"/>
    <w:rsid w:val="000C2208"/>
    <w:rsid w:val="000C31B8"/>
    <w:rsid w:val="000C4D73"/>
    <w:rsid w:val="000C515A"/>
    <w:rsid w:val="000C6385"/>
    <w:rsid w:val="000D13EC"/>
    <w:rsid w:val="000D1E97"/>
    <w:rsid w:val="000D2554"/>
    <w:rsid w:val="000D284E"/>
    <w:rsid w:val="000D30E4"/>
    <w:rsid w:val="000D3112"/>
    <w:rsid w:val="000D360C"/>
    <w:rsid w:val="000D3A53"/>
    <w:rsid w:val="000D3C4D"/>
    <w:rsid w:val="000D5391"/>
    <w:rsid w:val="000D5B4C"/>
    <w:rsid w:val="000E068D"/>
    <w:rsid w:val="000E0F87"/>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7304"/>
    <w:rsid w:val="00107EAC"/>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A72"/>
    <w:rsid w:val="001216B6"/>
    <w:rsid w:val="00121D3C"/>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2A27"/>
    <w:rsid w:val="00172D8C"/>
    <w:rsid w:val="001743B2"/>
    <w:rsid w:val="00175564"/>
    <w:rsid w:val="001759F9"/>
    <w:rsid w:val="0017669A"/>
    <w:rsid w:val="00176D09"/>
    <w:rsid w:val="00176D18"/>
    <w:rsid w:val="00177528"/>
    <w:rsid w:val="00177958"/>
    <w:rsid w:val="00177CD9"/>
    <w:rsid w:val="00180604"/>
    <w:rsid w:val="00180CB0"/>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C50"/>
    <w:rsid w:val="001D6E2D"/>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3036"/>
    <w:rsid w:val="0020379F"/>
    <w:rsid w:val="00203BDA"/>
    <w:rsid w:val="00203C89"/>
    <w:rsid w:val="002043AC"/>
    <w:rsid w:val="0020540C"/>
    <w:rsid w:val="0020655B"/>
    <w:rsid w:val="0020677C"/>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865"/>
    <w:rsid w:val="00226BB0"/>
    <w:rsid w:val="00226C82"/>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3D2"/>
    <w:rsid w:val="00240E43"/>
    <w:rsid w:val="00240E56"/>
    <w:rsid w:val="002412BF"/>
    <w:rsid w:val="002416DE"/>
    <w:rsid w:val="00241C61"/>
    <w:rsid w:val="00241EA1"/>
    <w:rsid w:val="002421B4"/>
    <w:rsid w:val="00243BA8"/>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29A5"/>
    <w:rsid w:val="0025337F"/>
    <w:rsid w:val="002534E6"/>
    <w:rsid w:val="0025351C"/>
    <w:rsid w:val="00254C8E"/>
    <w:rsid w:val="002552C6"/>
    <w:rsid w:val="00256B58"/>
    <w:rsid w:val="00256EE9"/>
    <w:rsid w:val="002572EA"/>
    <w:rsid w:val="002573BB"/>
    <w:rsid w:val="00257C26"/>
    <w:rsid w:val="00260794"/>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D1E"/>
    <w:rsid w:val="00284F82"/>
    <w:rsid w:val="00285282"/>
    <w:rsid w:val="00285284"/>
    <w:rsid w:val="00286779"/>
    <w:rsid w:val="002871E0"/>
    <w:rsid w:val="00287506"/>
    <w:rsid w:val="00290D5F"/>
    <w:rsid w:val="00290FFD"/>
    <w:rsid w:val="002911A8"/>
    <w:rsid w:val="002912F0"/>
    <w:rsid w:val="00291567"/>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BD6"/>
    <w:rsid w:val="002B6344"/>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04B"/>
    <w:rsid w:val="002D7187"/>
    <w:rsid w:val="002D727A"/>
    <w:rsid w:val="002D72CC"/>
    <w:rsid w:val="002E0487"/>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214C"/>
    <w:rsid w:val="002F2222"/>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330"/>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0D65"/>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1D00"/>
    <w:rsid w:val="003324D7"/>
    <w:rsid w:val="00332DB3"/>
    <w:rsid w:val="0033494C"/>
    <w:rsid w:val="003359D0"/>
    <w:rsid w:val="00335D9C"/>
    <w:rsid w:val="00335FD9"/>
    <w:rsid w:val="003364B0"/>
    <w:rsid w:val="0033660F"/>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0B1"/>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1C"/>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41CC"/>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230"/>
    <w:rsid w:val="003C5336"/>
    <w:rsid w:val="003C570C"/>
    <w:rsid w:val="003C7ED7"/>
    <w:rsid w:val="003D0A0C"/>
    <w:rsid w:val="003D19EF"/>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34A"/>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C92"/>
    <w:rsid w:val="003F6ED2"/>
    <w:rsid w:val="003F7C3A"/>
    <w:rsid w:val="00400744"/>
    <w:rsid w:val="00400C31"/>
    <w:rsid w:val="00404D63"/>
    <w:rsid w:val="00404E5F"/>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3AC"/>
    <w:rsid w:val="00431CAB"/>
    <w:rsid w:val="00431D36"/>
    <w:rsid w:val="00433186"/>
    <w:rsid w:val="00433E00"/>
    <w:rsid w:val="004348BC"/>
    <w:rsid w:val="004348BF"/>
    <w:rsid w:val="0043505A"/>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46939"/>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C46"/>
    <w:rsid w:val="004701D3"/>
    <w:rsid w:val="00470954"/>
    <w:rsid w:val="004709B8"/>
    <w:rsid w:val="00471059"/>
    <w:rsid w:val="0047237D"/>
    <w:rsid w:val="004724C4"/>
    <w:rsid w:val="00473B1A"/>
    <w:rsid w:val="00474346"/>
    <w:rsid w:val="00474956"/>
    <w:rsid w:val="00474D87"/>
    <w:rsid w:val="00475349"/>
    <w:rsid w:val="00475B73"/>
    <w:rsid w:val="00475F8E"/>
    <w:rsid w:val="00476AE5"/>
    <w:rsid w:val="004771D3"/>
    <w:rsid w:val="004776D9"/>
    <w:rsid w:val="004779CD"/>
    <w:rsid w:val="004806A9"/>
    <w:rsid w:val="00480BFA"/>
    <w:rsid w:val="0048152B"/>
    <w:rsid w:val="00482AA0"/>
    <w:rsid w:val="00483288"/>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EA2"/>
    <w:rsid w:val="004C55A1"/>
    <w:rsid w:val="004C5C34"/>
    <w:rsid w:val="004C6243"/>
    <w:rsid w:val="004C69F7"/>
    <w:rsid w:val="004C6D16"/>
    <w:rsid w:val="004D10F7"/>
    <w:rsid w:val="004D1D7A"/>
    <w:rsid w:val="004D1DB0"/>
    <w:rsid w:val="004D23F8"/>
    <w:rsid w:val="004D282B"/>
    <w:rsid w:val="004D4077"/>
    <w:rsid w:val="004D4207"/>
    <w:rsid w:val="004D4B1A"/>
    <w:rsid w:val="004D51FE"/>
    <w:rsid w:val="004D581D"/>
    <w:rsid w:val="004D6300"/>
    <w:rsid w:val="004D6787"/>
    <w:rsid w:val="004D76B4"/>
    <w:rsid w:val="004E0261"/>
    <w:rsid w:val="004E0FBE"/>
    <w:rsid w:val="004E0FF1"/>
    <w:rsid w:val="004E2306"/>
    <w:rsid w:val="004E2849"/>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92B"/>
    <w:rsid w:val="004F6759"/>
    <w:rsid w:val="004F7427"/>
    <w:rsid w:val="004F742B"/>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6DF4"/>
    <w:rsid w:val="00597BC3"/>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6FA"/>
    <w:rsid w:val="005B2853"/>
    <w:rsid w:val="005B2A0E"/>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F2E"/>
    <w:rsid w:val="005D13A0"/>
    <w:rsid w:val="005D26B8"/>
    <w:rsid w:val="005D3067"/>
    <w:rsid w:val="005D30D7"/>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F044F"/>
    <w:rsid w:val="005F0905"/>
    <w:rsid w:val="005F0EA7"/>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3A6"/>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1D0"/>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1F55"/>
    <w:rsid w:val="006524B0"/>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2B37"/>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87D"/>
    <w:rsid w:val="006C0A56"/>
    <w:rsid w:val="006C0E04"/>
    <w:rsid w:val="006C0F64"/>
    <w:rsid w:val="006C142E"/>
    <w:rsid w:val="006C1F22"/>
    <w:rsid w:val="006C29CE"/>
    <w:rsid w:val="006C3100"/>
    <w:rsid w:val="006C3673"/>
    <w:rsid w:val="006C387D"/>
    <w:rsid w:val="006C3D77"/>
    <w:rsid w:val="006C400E"/>
    <w:rsid w:val="006C65E2"/>
    <w:rsid w:val="006C6DF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A83"/>
    <w:rsid w:val="006F3E94"/>
    <w:rsid w:val="006F42A6"/>
    <w:rsid w:val="006F54ED"/>
    <w:rsid w:val="006F5E0B"/>
    <w:rsid w:val="006F7098"/>
    <w:rsid w:val="006F70A0"/>
    <w:rsid w:val="006F7382"/>
    <w:rsid w:val="006F790E"/>
    <w:rsid w:val="006F79BF"/>
    <w:rsid w:val="007010F1"/>
    <w:rsid w:val="00701174"/>
    <w:rsid w:val="00701A1E"/>
    <w:rsid w:val="007020AC"/>
    <w:rsid w:val="007022B6"/>
    <w:rsid w:val="00702BBF"/>
    <w:rsid w:val="00702EF2"/>
    <w:rsid w:val="00702F01"/>
    <w:rsid w:val="00704FAF"/>
    <w:rsid w:val="00705211"/>
    <w:rsid w:val="00706AA0"/>
    <w:rsid w:val="00706BAA"/>
    <w:rsid w:val="0071023B"/>
    <w:rsid w:val="00710512"/>
    <w:rsid w:val="00711060"/>
    <w:rsid w:val="007118B9"/>
    <w:rsid w:val="00713D36"/>
    <w:rsid w:val="00715965"/>
    <w:rsid w:val="007159A6"/>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361"/>
    <w:rsid w:val="00784463"/>
    <w:rsid w:val="007845B9"/>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802"/>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4485"/>
    <w:rsid w:val="007B5407"/>
    <w:rsid w:val="007B5F4A"/>
    <w:rsid w:val="007B6146"/>
    <w:rsid w:val="007B6606"/>
    <w:rsid w:val="007B67F4"/>
    <w:rsid w:val="007B6BAB"/>
    <w:rsid w:val="007B6C07"/>
    <w:rsid w:val="007B744E"/>
    <w:rsid w:val="007B7C30"/>
    <w:rsid w:val="007B7FFD"/>
    <w:rsid w:val="007C0B17"/>
    <w:rsid w:val="007C0ECD"/>
    <w:rsid w:val="007C13FC"/>
    <w:rsid w:val="007C1907"/>
    <w:rsid w:val="007C207E"/>
    <w:rsid w:val="007C20FC"/>
    <w:rsid w:val="007C2860"/>
    <w:rsid w:val="007C2BC3"/>
    <w:rsid w:val="007C2E62"/>
    <w:rsid w:val="007C3671"/>
    <w:rsid w:val="007C3FCB"/>
    <w:rsid w:val="007C49F6"/>
    <w:rsid w:val="007C6284"/>
    <w:rsid w:val="007C6608"/>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538"/>
    <w:rsid w:val="00806636"/>
    <w:rsid w:val="00807393"/>
    <w:rsid w:val="008101B5"/>
    <w:rsid w:val="0081101D"/>
    <w:rsid w:val="00811690"/>
    <w:rsid w:val="00811752"/>
    <w:rsid w:val="008117D5"/>
    <w:rsid w:val="00811BF2"/>
    <w:rsid w:val="008126ED"/>
    <w:rsid w:val="00813254"/>
    <w:rsid w:val="0081335D"/>
    <w:rsid w:val="00813938"/>
    <w:rsid w:val="00813ED0"/>
    <w:rsid w:val="008143CB"/>
    <w:rsid w:val="0081485B"/>
    <w:rsid w:val="008149BE"/>
    <w:rsid w:val="008153AE"/>
    <w:rsid w:val="00821622"/>
    <w:rsid w:val="008217E8"/>
    <w:rsid w:val="00821B30"/>
    <w:rsid w:val="0082203E"/>
    <w:rsid w:val="008223F1"/>
    <w:rsid w:val="0082252D"/>
    <w:rsid w:val="0082323F"/>
    <w:rsid w:val="008238E7"/>
    <w:rsid w:val="00823DCC"/>
    <w:rsid w:val="008264F1"/>
    <w:rsid w:val="00827242"/>
    <w:rsid w:val="00827941"/>
    <w:rsid w:val="00827DF7"/>
    <w:rsid w:val="008306D9"/>
    <w:rsid w:val="0083072B"/>
    <w:rsid w:val="00830B42"/>
    <w:rsid w:val="00830CE7"/>
    <w:rsid w:val="00831C33"/>
    <w:rsid w:val="00831CCB"/>
    <w:rsid w:val="00831CF6"/>
    <w:rsid w:val="0083260C"/>
    <w:rsid w:val="00832DF9"/>
    <w:rsid w:val="008330ED"/>
    <w:rsid w:val="00833705"/>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9B0"/>
    <w:rsid w:val="0084511E"/>
    <w:rsid w:val="0084512C"/>
    <w:rsid w:val="00845BD8"/>
    <w:rsid w:val="008465B9"/>
    <w:rsid w:val="0084749E"/>
    <w:rsid w:val="008474D9"/>
    <w:rsid w:val="00847913"/>
    <w:rsid w:val="00847EDA"/>
    <w:rsid w:val="00847F25"/>
    <w:rsid w:val="008502DA"/>
    <w:rsid w:val="00850998"/>
    <w:rsid w:val="00850F67"/>
    <w:rsid w:val="00851185"/>
    <w:rsid w:val="0085131B"/>
    <w:rsid w:val="00852F0F"/>
    <w:rsid w:val="0085392E"/>
    <w:rsid w:val="00855AF6"/>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AA5"/>
    <w:rsid w:val="00873CAB"/>
    <w:rsid w:val="008743DE"/>
    <w:rsid w:val="008746DE"/>
    <w:rsid w:val="008749FA"/>
    <w:rsid w:val="008751E6"/>
    <w:rsid w:val="00875D58"/>
    <w:rsid w:val="00875FCA"/>
    <w:rsid w:val="0087618A"/>
    <w:rsid w:val="00876BAC"/>
    <w:rsid w:val="00876D36"/>
    <w:rsid w:val="00877329"/>
    <w:rsid w:val="00877966"/>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84"/>
    <w:rsid w:val="008C28C7"/>
    <w:rsid w:val="008C2CBA"/>
    <w:rsid w:val="008C2D29"/>
    <w:rsid w:val="008C3279"/>
    <w:rsid w:val="008C3FF6"/>
    <w:rsid w:val="008C4839"/>
    <w:rsid w:val="008C4879"/>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1FE4"/>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1AA"/>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8F9"/>
    <w:rsid w:val="00913977"/>
    <w:rsid w:val="00914203"/>
    <w:rsid w:val="009163F2"/>
    <w:rsid w:val="0091760A"/>
    <w:rsid w:val="00917F6F"/>
    <w:rsid w:val="009228DD"/>
    <w:rsid w:val="00922B80"/>
    <w:rsid w:val="009231C2"/>
    <w:rsid w:val="0092560D"/>
    <w:rsid w:val="00925867"/>
    <w:rsid w:val="00925DD5"/>
    <w:rsid w:val="0092649C"/>
    <w:rsid w:val="0092752C"/>
    <w:rsid w:val="00927F34"/>
    <w:rsid w:val="00930216"/>
    <w:rsid w:val="00930A51"/>
    <w:rsid w:val="00931A98"/>
    <w:rsid w:val="009321E6"/>
    <w:rsid w:val="0093234D"/>
    <w:rsid w:val="00932427"/>
    <w:rsid w:val="0093280E"/>
    <w:rsid w:val="009335CA"/>
    <w:rsid w:val="00933951"/>
    <w:rsid w:val="00934643"/>
    <w:rsid w:val="00934780"/>
    <w:rsid w:val="009348A1"/>
    <w:rsid w:val="00936ED8"/>
    <w:rsid w:val="009370E1"/>
    <w:rsid w:val="009370FC"/>
    <w:rsid w:val="00937C62"/>
    <w:rsid w:val="00940600"/>
    <w:rsid w:val="00940BD8"/>
    <w:rsid w:val="00940DB8"/>
    <w:rsid w:val="00941155"/>
    <w:rsid w:val="00941815"/>
    <w:rsid w:val="00941C32"/>
    <w:rsid w:val="009423D8"/>
    <w:rsid w:val="009425F9"/>
    <w:rsid w:val="00942971"/>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57B8B"/>
    <w:rsid w:val="00960533"/>
    <w:rsid w:val="00960746"/>
    <w:rsid w:val="00960888"/>
    <w:rsid w:val="00960E77"/>
    <w:rsid w:val="00961311"/>
    <w:rsid w:val="00961651"/>
    <w:rsid w:val="00961B6C"/>
    <w:rsid w:val="0096213D"/>
    <w:rsid w:val="00962A3E"/>
    <w:rsid w:val="00962A99"/>
    <w:rsid w:val="0096341A"/>
    <w:rsid w:val="00963511"/>
    <w:rsid w:val="00964425"/>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873A9"/>
    <w:rsid w:val="0099046B"/>
    <w:rsid w:val="009923C2"/>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540"/>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C000B"/>
    <w:rsid w:val="009C0097"/>
    <w:rsid w:val="009C0C35"/>
    <w:rsid w:val="009C1262"/>
    <w:rsid w:val="009C1B7D"/>
    <w:rsid w:val="009C2060"/>
    <w:rsid w:val="009C32C7"/>
    <w:rsid w:val="009C3B5D"/>
    <w:rsid w:val="009C458C"/>
    <w:rsid w:val="009C458E"/>
    <w:rsid w:val="009C4A36"/>
    <w:rsid w:val="009C4AC2"/>
    <w:rsid w:val="009C4D99"/>
    <w:rsid w:val="009C519E"/>
    <w:rsid w:val="009C52CB"/>
    <w:rsid w:val="009C5587"/>
    <w:rsid w:val="009C58B4"/>
    <w:rsid w:val="009C5F02"/>
    <w:rsid w:val="009C6A3A"/>
    <w:rsid w:val="009C76FD"/>
    <w:rsid w:val="009D01BF"/>
    <w:rsid w:val="009D0A75"/>
    <w:rsid w:val="009D111E"/>
    <w:rsid w:val="009D214A"/>
    <w:rsid w:val="009D2576"/>
    <w:rsid w:val="009D26DF"/>
    <w:rsid w:val="009D301C"/>
    <w:rsid w:val="009D30BB"/>
    <w:rsid w:val="009D3654"/>
    <w:rsid w:val="009D3EF2"/>
    <w:rsid w:val="009D4132"/>
    <w:rsid w:val="009D48DA"/>
    <w:rsid w:val="009D66E2"/>
    <w:rsid w:val="009D75B8"/>
    <w:rsid w:val="009E0FAD"/>
    <w:rsid w:val="009E222A"/>
    <w:rsid w:val="009E2269"/>
    <w:rsid w:val="009E3807"/>
    <w:rsid w:val="009E403B"/>
    <w:rsid w:val="009E447D"/>
    <w:rsid w:val="009E4B3D"/>
    <w:rsid w:val="009E5B6D"/>
    <w:rsid w:val="009E66EC"/>
    <w:rsid w:val="009E6951"/>
    <w:rsid w:val="009E6D81"/>
    <w:rsid w:val="009E75C1"/>
    <w:rsid w:val="009E775E"/>
    <w:rsid w:val="009F06C3"/>
    <w:rsid w:val="009F0730"/>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0958"/>
    <w:rsid w:val="00A21BC8"/>
    <w:rsid w:val="00A21EF6"/>
    <w:rsid w:val="00A226BC"/>
    <w:rsid w:val="00A23221"/>
    <w:rsid w:val="00A2359B"/>
    <w:rsid w:val="00A2389A"/>
    <w:rsid w:val="00A23BAD"/>
    <w:rsid w:val="00A23D48"/>
    <w:rsid w:val="00A23D7E"/>
    <w:rsid w:val="00A2400F"/>
    <w:rsid w:val="00A2435B"/>
    <w:rsid w:val="00A25C5E"/>
    <w:rsid w:val="00A26006"/>
    <w:rsid w:val="00A2677B"/>
    <w:rsid w:val="00A26789"/>
    <w:rsid w:val="00A272EF"/>
    <w:rsid w:val="00A27858"/>
    <w:rsid w:val="00A3046B"/>
    <w:rsid w:val="00A31376"/>
    <w:rsid w:val="00A31F4B"/>
    <w:rsid w:val="00A323F7"/>
    <w:rsid w:val="00A3311F"/>
    <w:rsid w:val="00A339EA"/>
    <w:rsid w:val="00A33D88"/>
    <w:rsid w:val="00A34010"/>
    <w:rsid w:val="00A34822"/>
    <w:rsid w:val="00A348FF"/>
    <w:rsid w:val="00A34BBD"/>
    <w:rsid w:val="00A34DE7"/>
    <w:rsid w:val="00A34EFF"/>
    <w:rsid w:val="00A354DE"/>
    <w:rsid w:val="00A35520"/>
    <w:rsid w:val="00A35737"/>
    <w:rsid w:val="00A36EF2"/>
    <w:rsid w:val="00A4058D"/>
    <w:rsid w:val="00A406D8"/>
    <w:rsid w:val="00A40C5B"/>
    <w:rsid w:val="00A40F96"/>
    <w:rsid w:val="00A4155F"/>
    <w:rsid w:val="00A4161C"/>
    <w:rsid w:val="00A41EFC"/>
    <w:rsid w:val="00A42693"/>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1CF4"/>
    <w:rsid w:val="00A62A3E"/>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3AAB"/>
    <w:rsid w:val="00A840AD"/>
    <w:rsid w:val="00A8459F"/>
    <w:rsid w:val="00A85CE6"/>
    <w:rsid w:val="00A877AD"/>
    <w:rsid w:val="00A87B07"/>
    <w:rsid w:val="00A9062C"/>
    <w:rsid w:val="00A91941"/>
    <w:rsid w:val="00A91A55"/>
    <w:rsid w:val="00A9217C"/>
    <w:rsid w:val="00A92AB8"/>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B5CDA"/>
    <w:rsid w:val="00AC0119"/>
    <w:rsid w:val="00AC0750"/>
    <w:rsid w:val="00AC0D3A"/>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F58"/>
    <w:rsid w:val="00AD733A"/>
    <w:rsid w:val="00AD741B"/>
    <w:rsid w:val="00AE0042"/>
    <w:rsid w:val="00AE0274"/>
    <w:rsid w:val="00AE0CBC"/>
    <w:rsid w:val="00AE1403"/>
    <w:rsid w:val="00AE148B"/>
    <w:rsid w:val="00AE21B4"/>
    <w:rsid w:val="00AE246C"/>
    <w:rsid w:val="00AE3AC0"/>
    <w:rsid w:val="00AE4342"/>
    <w:rsid w:val="00AE465E"/>
    <w:rsid w:val="00AE53E7"/>
    <w:rsid w:val="00AE543D"/>
    <w:rsid w:val="00AE56A1"/>
    <w:rsid w:val="00AE586B"/>
    <w:rsid w:val="00AE5CC7"/>
    <w:rsid w:val="00AE6994"/>
    <w:rsid w:val="00AE7B8B"/>
    <w:rsid w:val="00AE7BA7"/>
    <w:rsid w:val="00AF042E"/>
    <w:rsid w:val="00AF15B8"/>
    <w:rsid w:val="00AF16D1"/>
    <w:rsid w:val="00AF33F6"/>
    <w:rsid w:val="00AF405D"/>
    <w:rsid w:val="00AF623E"/>
    <w:rsid w:val="00AF62F1"/>
    <w:rsid w:val="00AF6390"/>
    <w:rsid w:val="00AF764A"/>
    <w:rsid w:val="00B006E8"/>
    <w:rsid w:val="00B011A3"/>
    <w:rsid w:val="00B01619"/>
    <w:rsid w:val="00B016BF"/>
    <w:rsid w:val="00B017B4"/>
    <w:rsid w:val="00B022FC"/>
    <w:rsid w:val="00B0289D"/>
    <w:rsid w:val="00B02B6D"/>
    <w:rsid w:val="00B05EB5"/>
    <w:rsid w:val="00B069FC"/>
    <w:rsid w:val="00B06DFC"/>
    <w:rsid w:val="00B07356"/>
    <w:rsid w:val="00B113DD"/>
    <w:rsid w:val="00B12315"/>
    <w:rsid w:val="00B1252E"/>
    <w:rsid w:val="00B14C1A"/>
    <w:rsid w:val="00B15097"/>
    <w:rsid w:val="00B1521D"/>
    <w:rsid w:val="00B15672"/>
    <w:rsid w:val="00B15B80"/>
    <w:rsid w:val="00B17543"/>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B0B"/>
    <w:rsid w:val="00B35590"/>
    <w:rsid w:val="00B35A9B"/>
    <w:rsid w:val="00B366BB"/>
    <w:rsid w:val="00B3705D"/>
    <w:rsid w:val="00B37336"/>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96B"/>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4784"/>
    <w:rsid w:val="00B85466"/>
    <w:rsid w:val="00B8582F"/>
    <w:rsid w:val="00B868B2"/>
    <w:rsid w:val="00B87285"/>
    <w:rsid w:val="00B872ED"/>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1F40"/>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EA5"/>
    <w:rsid w:val="00C0632B"/>
    <w:rsid w:val="00C079F7"/>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02D"/>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693"/>
    <w:rsid w:val="00C366CB"/>
    <w:rsid w:val="00C367A9"/>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1631"/>
    <w:rsid w:val="00C71906"/>
    <w:rsid w:val="00C724E8"/>
    <w:rsid w:val="00C7301F"/>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74"/>
    <w:rsid w:val="00CB46A3"/>
    <w:rsid w:val="00CB7F96"/>
    <w:rsid w:val="00CC1E9E"/>
    <w:rsid w:val="00CC212F"/>
    <w:rsid w:val="00CC2827"/>
    <w:rsid w:val="00CC2CC2"/>
    <w:rsid w:val="00CC3E48"/>
    <w:rsid w:val="00CC3F96"/>
    <w:rsid w:val="00CC4658"/>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E55"/>
    <w:rsid w:val="00CD6189"/>
    <w:rsid w:val="00CD71C9"/>
    <w:rsid w:val="00CE05F2"/>
    <w:rsid w:val="00CE0D51"/>
    <w:rsid w:val="00CE0F85"/>
    <w:rsid w:val="00CE1B94"/>
    <w:rsid w:val="00CE1BA7"/>
    <w:rsid w:val="00CE1E74"/>
    <w:rsid w:val="00CE21FE"/>
    <w:rsid w:val="00CE229B"/>
    <w:rsid w:val="00CE2539"/>
    <w:rsid w:val="00CE2E71"/>
    <w:rsid w:val="00CE34DC"/>
    <w:rsid w:val="00CE430A"/>
    <w:rsid w:val="00CE4D0E"/>
    <w:rsid w:val="00CE5D29"/>
    <w:rsid w:val="00CE5F66"/>
    <w:rsid w:val="00CE6C99"/>
    <w:rsid w:val="00CE7308"/>
    <w:rsid w:val="00CE7A51"/>
    <w:rsid w:val="00CF15C3"/>
    <w:rsid w:val="00CF1985"/>
    <w:rsid w:val="00CF1B22"/>
    <w:rsid w:val="00CF1C9C"/>
    <w:rsid w:val="00CF2A20"/>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3E95"/>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0BC4"/>
    <w:rsid w:val="00D2112A"/>
    <w:rsid w:val="00D222F9"/>
    <w:rsid w:val="00D224ED"/>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FD4"/>
    <w:rsid w:val="00D37602"/>
    <w:rsid w:val="00D3762C"/>
    <w:rsid w:val="00D37E73"/>
    <w:rsid w:val="00D40065"/>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3E2"/>
    <w:rsid w:val="00D924BB"/>
    <w:rsid w:val="00D927FE"/>
    <w:rsid w:val="00D92CAF"/>
    <w:rsid w:val="00D936AE"/>
    <w:rsid w:val="00D94BA6"/>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4C07"/>
    <w:rsid w:val="00DB653A"/>
    <w:rsid w:val="00DB718B"/>
    <w:rsid w:val="00DB7960"/>
    <w:rsid w:val="00DC02A3"/>
    <w:rsid w:val="00DC0ED8"/>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27E"/>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BC2"/>
    <w:rsid w:val="00DF4CB0"/>
    <w:rsid w:val="00DF4FEF"/>
    <w:rsid w:val="00DF5110"/>
    <w:rsid w:val="00DF516E"/>
    <w:rsid w:val="00DF5AD7"/>
    <w:rsid w:val="00DF628C"/>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51BA"/>
    <w:rsid w:val="00E16307"/>
    <w:rsid w:val="00E16382"/>
    <w:rsid w:val="00E16FF8"/>
    <w:rsid w:val="00E17227"/>
    <w:rsid w:val="00E1790C"/>
    <w:rsid w:val="00E17FCE"/>
    <w:rsid w:val="00E21229"/>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8E"/>
    <w:rsid w:val="00E41A5C"/>
    <w:rsid w:val="00E41D55"/>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43DF"/>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5EE"/>
    <w:rsid w:val="00E92328"/>
    <w:rsid w:val="00E924CF"/>
    <w:rsid w:val="00E92C20"/>
    <w:rsid w:val="00E92F0F"/>
    <w:rsid w:val="00E93755"/>
    <w:rsid w:val="00E949FD"/>
    <w:rsid w:val="00E95477"/>
    <w:rsid w:val="00E962F8"/>
    <w:rsid w:val="00E96D54"/>
    <w:rsid w:val="00E96DAC"/>
    <w:rsid w:val="00E97321"/>
    <w:rsid w:val="00EA153A"/>
    <w:rsid w:val="00EA1573"/>
    <w:rsid w:val="00EA23F4"/>
    <w:rsid w:val="00EA2697"/>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8CF"/>
    <w:rsid w:val="00ED44C2"/>
    <w:rsid w:val="00ED5218"/>
    <w:rsid w:val="00ED59A1"/>
    <w:rsid w:val="00ED5C4B"/>
    <w:rsid w:val="00ED6955"/>
    <w:rsid w:val="00ED738E"/>
    <w:rsid w:val="00EE0D68"/>
    <w:rsid w:val="00EE0DD3"/>
    <w:rsid w:val="00EE10A4"/>
    <w:rsid w:val="00EE11AD"/>
    <w:rsid w:val="00EE16CB"/>
    <w:rsid w:val="00EE18EC"/>
    <w:rsid w:val="00EE3B8A"/>
    <w:rsid w:val="00EE4175"/>
    <w:rsid w:val="00EE5B91"/>
    <w:rsid w:val="00EE6AB2"/>
    <w:rsid w:val="00EE712F"/>
    <w:rsid w:val="00EE737E"/>
    <w:rsid w:val="00EE7D17"/>
    <w:rsid w:val="00EF1D7F"/>
    <w:rsid w:val="00EF2FEA"/>
    <w:rsid w:val="00EF303C"/>
    <w:rsid w:val="00EF3221"/>
    <w:rsid w:val="00EF38BD"/>
    <w:rsid w:val="00EF4310"/>
    <w:rsid w:val="00EF48C7"/>
    <w:rsid w:val="00F00159"/>
    <w:rsid w:val="00F001C1"/>
    <w:rsid w:val="00F0066C"/>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22F"/>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89C"/>
    <w:rsid w:val="00F56C09"/>
    <w:rsid w:val="00F60493"/>
    <w:rsid w:val="00F60920"/>
    <w:rsid w:val="00F61FAC"/>
    <w:rsid w:val="00F62921"/>
    <w:rsid w:val="00F62DE2"/>
    <w:rsid w:val="00F64357"/>
    <w:rsid w:val="00F64787"/>
    <w:rsid w:val="00F64EDB"/>
    <w:rsid w:val="00F660E2"/>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ECE"/>
    <w:rsid w:val="00F9363F"/>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C90"/>
    <w:rsid w:val="00FA4EB5"/>
    <w:rsid w:val="00FA5199"/>
    <w:rsid w:val="00FA564E"/>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3E5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6BF"/>
    <w:rsid w:val="00FE1784"/>
    <w:rsid w:val="00FE18D3"/>
    <w:rsid w:val="00FE1AF4"/>
    <w:rsid w:val="00FE3D94"/>
    <w:rsid w:val="00FE54C1"/>
    <w:rsid w:val="00FE5EF4"/>
    <w:rsid w:val="00FE5F32"/>
    <w:rsid w:val="00FE6573"/>
    <w:rsid w:val="00FE6F49"/>
    <w:rsid w:val="00FE75BC"/>
    <w:rsid w:val="00FE7AB5"/>
    <w:rsid w:val="00FE7EF2"/>
    <w:rsid w:val="00FF055F"/>
    <w:rsid w:val="00FF0C84"/>
    <w:rsid w:val="00FF0FD0"/>
    <w:rsid w:val="00FF112D"/>
    <w:rsid w:val="00FF1610"/>
    <w:rsid w:val="00FF2425"/>
    <w:rsid w:val="00FF2D03"/>
    <w:rsid w:val="00FF3AA1"/>
    <w:rsid w:val="00FF4467"/>
    <w:rsid w:val="00FF472B"/>
    <w:rsid w:val="00FF4D58"/>
    <w:rsid w:val="00FF4D76"/>
    <w:rsid w:val="00FF4F95"/>
    <w:rsid w:val="00FF51AF"/>
    <w:rsid w:val="00FF6158"/>
    <w:rsid w:val="00FF7E0D"/>
    <w:rsid w:val="012707C4"/>
    <w:rsid w:val="01694E67"/>
    <w:rsid w:val="016D453B"/>
    <w:rsid w:val="01864057"/>
    <w:rsid w:val="01AD79B3"/>
    <w:rsid w:val="01B077EB"/>
    <w:rsid w:val="01B20C8F"/>
    <w:rsid w:val="01D50125"/>
    <w:rsid w:val="01D55F52"/>
    <w:rsid w:val="01D62641"/>
    <w:rsid w:val="021C6CAF"/>
    <w:rsid w:val="02A92CDF"/>
    <w:rsid w:val="02B47648"/>
    <w:rsid w:val="0305068D"/>
    <w:rsid w:val="030B3ED4"/>
    <w:rsid w:val="035141CF"/>
    <w:rsid w:val="03826601"/>
    <w:rsid w:val="039D54AB"/>
    <w:rsid w:val="03AE6841"/>
    <w:rsid w:val="03F72FD6"/>
    <w:rsid w:val="04115AFE"/>
    <w:rsid w:val="04524EA1"/>
    <w:rsid w:val="04615CDC"/>
    <w:rsid w:val="04FF29AD"/>
    <w:rsid w:val="0514586A"/>
    <w:rsid w:val="058B5252"/>
    <w:rsid w:val="05B5412D"/>
    <w:rsid w:val="0608551F"/>
    <w:rsid w:val="06CE11CF"/>
    <w:rsid w:val="07067305"/>
    <w:rsid w:val="070D1974"/>
    <w:rsid w:val="08200682"/>
    <w:rsid w:val="083039AA"/>
    <w:rsid w:val="08357DCD"/>
    <w:rsid w:val="083D3A51"/>
    <w:rsid w:val="084F7422"/>
    <w:rsid w:val="086F4E8A"/>
    <w:rsid w:val="087702C7"/>
    <w:rsid w:val="088C3DB2"/>
    <w:rsid w:val="08A76877"/>
    <w:rsid w:val="08AB2C68"/>
    <w:rsid w:val="08D93023"/>
    <w:rsid w:val="08E4239E"/>
    <w:rsid w:val="091F2FF8"/>
    <w:rsid w:val="092730F1"/>
    <w:rsid w:val="093855A5"/>
    <w:rsid w:val="094273F0"/>
    <w:rsid w:val="097208F9"/>
    <w:rsid w:val="09912E74"/>
    <w:rsid w:val="09C511A6"/>
    <w:rsid w:val="09DC2A58"/>
    <w:rsid w:val="0A5E0B3B"/>
    <w:rsid w:val="0AA30705"/>
    <w:rsid w:val="0B127285"/>
    <w:rsid w:val="0B6B078F"/>
    <w:rsid w:val="0B89149D"/>
    <w:rsid w:val="0C000E69"/>
    <w:rsid w:val="0C263902"/>
    <w:rsid w:val="0C264EA1"/>
    <w:rsid w:val="0C5A23EE"/>
    <w:rsid w:val="0C9A7EBF"/>
    <w:rsid w:val="0D36664C"/>
    <w:rsid w:val="0D39344F"/>
    <w:rsid w:val="0DC8391A"/>
    <w:rsid w:val="0DD106BD"/>
    <w:rsid w:val="0DD969F9"/>
    <w:rsid w:val="0E7427DE"/>
    <w:rsid w:val="0E96685F"/>
    <w:rsid w:val="0EAE208A"/>
    <w:rsid w:val="0EFA11C9"/>
    <w:rsid w:val="0F686298"/>
    <w:rsid w:val="0F6B3681"/>
    <w:rsid w:val="0F845A10"/>
    <w:rsid w:val="0FDF28A2"/>
    <w:rsid w:val="10047BA6"/>
    <w:rsid w:val="10351AE4"/>
    <w:rsid w:val="107A59CC"/>
    <w:rsid w:val="10A34363"/>
    <w:rsid w:val="10B37C7E"/>
    <w:rsid w:val="10BB7427"/>
    <w:rsid w:val="113B66D4"/>
    <w:rsid w:val="114C24DA"/>
    <w:rsid w:val="114E7EE7"/>
    <w:rsid w:val="118E4306"/>
    <w:rsid w:val="119B7E47"/>
    <w:rsid w:val="12154870"/>
    <w:rsid w:val="121B31FE"/>
    <w:rsid w:val="123815E9"/>
    <w:rsid w:val="129016BB"/>
    <w:rsid w:val="12A62B17"/>
    <w:rsid w:val="12CE0FA7"/>
    <w:rsid w:val="13271014"/>
    <w:rsid w:val="138F5E0E"/>
    <w:rsid w:val="13A40878"/>
    <w:rsid w:val="13D3248F"/>
    <w:rsid w:val="13D446A1"/>
    <w:rsid w:val="13D604D8"/>
    <w:rsid w:val="14174C1A"/>
    <w:rsid w:val="141E1608"/>
    <w:rsid w:val="14351C3C"/>
    <w:rsid w:val="14485E3B"/>
    <w:rsid w:val="147715ED"/>
    <w:rsid w:val="14C01527"/>
    <w:rsid w:val="14C86A55"/>
    <w:rsid w:val="14EE3FD8"/>
    <w:rsid w:val="152B00A9"/>
    <w:rsid w:val="1569228F"/>
    <w:rsid w:val="15A548CE"/>
    <w:rsid w:val="15C01F4D"/>
    <w:rsid w:val="15C26791"/>
    <w:rsid w:val="16411638"/>
    <w:rsid w:val="165E1141"/>
    <w:rsid w:val="168B3E0E"/>
    <w:rsid w:val="16A72FC1"/>
    <w:rsid w:val="16EC686D"/>
    <w:rsid w:val="16F8773E"/>
    <w:rsid w:val="16FE73F4"/>
    <w:rsid w:val="17236079"/>
    <w:rsid w:val="172E60D6"/>
    <w:rsid w:val="17901CDF"/>
    <w:rsid w:val="17D73F50"/>
    <w:rsid w:val="17DD315F"/>
    <w:rsid w:val="180F7C8F"/>
    <w:rsid w:val="183E3871"/>
    <w:rsid w:val="18987DCE"/>
    <w:rsid w:val="191A216A"/>
    <w:rsid w:val="192619BB"/>
    <w:rsid w:val="19622A45"/>
    <w:rsid w:val="197A73D7"/>
    <w:rsid w:val="19D23AA0"/>
    <w:rsid w:val="1A2B5E3E"/>
    <w:rsid w:val="1A2C5181"/>
    <w:rsid w:val="1A346C00"/>
    <w:rsid w:val="1A4D123E"/>
    <w:rsid w:val="1A8F295C"/>
    <w:rsid w:val="1A8F3D53"/>
    <w:rsid w:val="1A954D8C"/>
    <w:rsid w:val="1AC27541"/>
    <w:rsid w:val="1ACC1744"/>
    <w:rsid w:val="1AFA5AFC"/>
    <w:rsid w:val="1B206006"/>
    <w:rsid w:val="1B757340"/>
    <w:rsid w:val="1B957C7B"/>
    <w:rsid w:val="1BEC49DB"/>
    <w:rsid w:val="1C2321C2"/>
    <w:rsid w:val="1C875EF1"/>
    <w:rsid w:val="1CE461D9"/>
    <w:rsid w:val="1CED35DC"/>
    <w:rsid w:val="1D202C9C"/>
    <w:rsid w:val="1D857DF3"/>
    <w:rsid w:val="1DBB356B"/>
    <w:rsid w:val="1DC8140A"/>
    <w:rsid w:val="1DDE5F55"/>
    <w:rsid w:val="1DEB6E85"/>
    <w:rsid w:val="1E01142D"/>
    <w:rsid w:val="1E156EF1"/>
    <w:rsid w:val="1E1D43E8"/>
    <w:rsid w:val="1E3562B3"/>
    <w:rsid w:val="1E3727AD"/>
    <w:rsid w:val="1E7C1CB9"/>
    <w:rsid w:val="1ED97243"/>
    <w:rsid w:val="1F1A4827"/>
    <w:rsid w:val="1F45783F"/>
    <w:rsid w:val="1F704FD5"/>
    <w:rsid w:val="1F92356A"/>
    <w:rsid w:val="1F9F4112"/>
    <w:rsid w:val="1FA1245C"/>
    <w:rsid w:val="1FA618D4"/>
    <w:rsid w:val="20376B72"/>
    <w:rsid w:val="205A2A52"/>
    <w:rsid w:val="2091671E"/>
    <w:rsid w:val="20A34F2C"/>
    <w:rsid w:val="21610493"/>
    <w:rsid w:val="216B49E0"/>
    <w:rsid w:val="22092F48"/>
    <w:rsid w:val="224E593B"/>
    <w:rsid w:val="22685F27"/>
    <w:rsid w:val="233B1126"/>
    <w:rsid w:val="235B24A6"/>
    <w:rsid w:val="236972D7"/>
    <w:rsid w:val="23BC439A"/>
    <w:rsid w:val="23CB1319"/>
    <w:rsid w:val="245E5DF8"/>
    <w:rsid w:val="24D34CFC"/>
    <w:rsid w:val="251872D3"/>
    <w:rsid w:val="25283914"/>
    <w:rsid w:val="255D595B"/>
    <w:rsid w:val="258B6CB7"/>
    <w:rsid w:val="25932CFA"/>
    <w:rsid w:val="25CF3D15"/>
    <w:rsid w:val="266A6C26"/>
    <w:rsid w:val="26767376"/>
    <w:rsid w:val="270820F8"/>
    <w:rsid w:val="272057DA"/>
    <w:rsid w:val="27E97C69"/>
    <w:rsid w:val="28DE4E8F"/>
    <w:rsid w:val="292A2A11"/>
    <w:rsid w:val="29316A3B"/>
    <w:rsid w:val="29444D25"/>
    <w:rsid w:val="296D77CC"/>
    <w:rsid w:val="297A2089"/>
    <w:rsid w:val="29A50736"/>
    <w:rsid w:val="29A72A9B"/>
    <w:rsid w:val="29C17D35"/>
    <w:rsid w:val="29C22469"/>
    <w:rsid w:val="29EC5134"/>
    <w:rsid w:val="29F541C7"/>
    <w:rsid w:val="2A606AD8"/>
    <w:rsid w:val="2ADA467F"/>
    <w:rsid w:val="2AF239B6"/>
    <w:rsid w:val="2AF275F4"/>
    <w:rsid w:val="2B15226F"/>
    <w:rsid w:val="2B3E0F37"/>
    <w:rsid w:val="2CD759E4"/>
    <w:rsid w:val="2CEE1A70"/>
    <w:rsid w:val="2D493022"/>
    <w:rsid w:val="2D655BE5"/>
    <w:rsid w:val="2D9337BC"/>
    <w:rsid w:val="2D9A75E1"/>
    <w:rsid w:val="2DF021D8"/>
    <w:rsid w:val="2DFB60F8"/>
    <w:rsid w:val="2E0919EB"/>
    <w:rsid w:val="2E3719E9"/>
    <w:rsid w:val="2E4777DC"/>
    <w:rsid w:val="2E7543E0"/>
    <w:rsid w:val="2EB36C4E"/>
    <w:rsid w:val="2EFA6158"/>
    <w:rsid w:val="2F2C6EB6"/>
    <w:rsid w:val="2F490617"/>
    <w:rsid w:val="2F8365E6"/>
    <w:rsid w:val="2FC91174"/>
    <w:rsid w:val="3083312B"/>
    <w:rsid w:val="30A03251"/>
    <w:rsid w:val="314538CF"/>
    <w:rsid w:val="317F3E4E"/>
    <w:rsid w:val="31864DF2"/>
    <w:rsid w:val="31BA29F0"/>
    <w:rsid w:val="31E6723E"/>
    <w:rsid w:val="32110F92"/>
    <w:rsid w:val="324C595E"/>
    <w:rsid w:val="32F45276"/>
    <w:rsid w:val="32FA3A2E"/>
    <w:rsid w:val="330E0ACF"/>
    <w:rsid w:val="332F4380"/>
    <w:rsid w:val="335257F6"/>
    <w:rsid w:val="33980E8D"/>
    <w:rsid w:val="33C70149"/>
    <w:rsid w:val="34595A71"/>
    <w:rsid w:val="34621C19"/>
    <w:rsid w:val="34891A14"/>
    <w:rsid w:val="348D7254"/>
    <w:rsid w:val="34B857DE"/>
    <w:rsid w:val="34D175CD"/>
    <w:rsid w:val="3500021F"/>
    <w:rsid w:val="35AA455F"/>
    <w:rsid w:val="35C70C1F"/>
    <w:rsid w:val="35D02C21"/>
    <w:rsid w:val="36291376"/>
    <w:rsid w:val="369361D0"/>
    <w:rsid w:val="36A30821"/>
    <w:rsid w:val="36A466CD"/>
    <w:rsid w:val="37262B7E"/>
    <w:rsid w:val="37503053"/>
    <w:rsid w:val="37943AFB"/>
    <w:rsid w:val="37AF7FC0"/>
    <w:rsid w:val="37FB2BCE"/>
    <w:rsid w:val="383C5403"/>
    <w:rsid w:val="385D3A84"/>
    <w:rsid w:val="386A760A"/>
    <w:rsid w:val="38994C37"/>
    <w:rsid w:val="393D131E"/>
    <w:rsid w:val="396613FE"/>
    <w:rsid w:val="39B425F7"/>
    <w:rsid w:val="39D85165"/>
    <w:rsid w:val="39E61463"/>
    <w:rsid w:val="3A844F1E"/>
    <w:rsid w:val="3A90247F"/>
    <w:rsid w:val="3A9E6B0C"/>
    <w:rsid w:val="3AA00C92"/>
    <w:rsid w:val="3AFB27D4"/>
    <w:rsid w:val="3B1E55CE"/>
    <w:rsid w:val="3B947E3C"/>
    <w:rsid w:val="3BC02C6D"/>
    <w:rsid w:val="3C971059"/>
    <w:rsid w:val="3CCE33BB"/>
    <w:rsid w:val="3CF15E7E"/>
    <w:rsid w:val="3D00598F"/>
    <w:rsid w:val="3D4E7040"/>
    <w:rsid w:val="3D635494"/>
    <w:rsid w:val="3E173088"/>
    <w:rsid w:val="3E3E27CF"/>
    <w:rsid w:val="3E4921D6"/>
    <w:rsid w:val="3E790D7D"/>
    <w:rsid w:val="3EF13917"/>
    <w:rsid w:val="3F174F56"/>
    <w:rsid w:val="3F186AC4"/>
    <w:rsid w:val="3F26214B"/>
    <w:rsid w:val="3F6A0042"/>
    <w:rsid w:val="3F766DB9"/>
    <w:rsid w:val="3F7F1BFD"/>
    <w:rsid w:val="3F8A06AA"/>
    <w:rsid w:val="3FE576CA"/>
    <w:rsid w:val="400475FA"/>
    <w:rsid w:val="40553046"/>
    <w:rsid w:val="40AF72B8"/>
    <w:rsid w:val="40CF331A"/>
    <w:rsid w:val="40E14CD8"/>
    <w:rsid w:val="410036E9"/>
    <w:rsid w:val="410605FE"/>
    <w:rsid w:val="412E3821"/>
    <w:rsid w:val="413A6077"/>
    <w:rsid w:val="413E2733"/>
    <w:rsid w:val="41701162"/>
    <w:rsid w:val="417C1D9A"/>
    <w:rsid w:val="419A23C7"/>
    <w:rsid w:val="41CA0607"/>
    <w:rsid w:val="41D9678F"/>
    <w:rsid w:val="42496F39"/>
    <w:rsid w:val="425C095C"/>
    <w:rsid w:val="426516E3"/>
    <w:rsid w:val="42686B85"/>
    <w:rsid w:val="42923B0C"/>
    <w:rsid w:val="43607E5D"/>
    <w:rsid w:val="437C0688"/>
    <w:rsid w:val="43903143"/>
    <w:rsid w:val="43A02D2F"/>
    <w:rsid w:val="43B538F0"/>
    <w:rsid w:val="43C10AA6"/>
    <w:rsid w:val="43D15445"/>
    <w:rsid w:val="43ED2711"/>
    <w:rsid w:val="440C78E3"/>
    <w:rsid w:val="44171ACC"/>
    <w:rsid w:val="442C6151"/>
    <w:rsid w:val="448204B9"/>
    <w:rsid w:val="448F1521"/>
    <w:rsid w:val="44B663F5"/>
    <w:rsid w:val="44DC110A"/>
    <w:rsid w:val="455A3046"/>
    <w:rsid w:val="463D3DC4"/>
    <w:rsid w:val="463E6CCF"/>
    <w:rsid w:val="46446A7A"/>
    <w:rsid w:val="465A1D21"/>
    <w:rsid w:val="467E45B6"/>
    <w:rsid w:val="46812124"/>
    <w:rsid w:val="46A47021"/>
    <w:rsid w:val="46D5189F"/>
    <w:rsid w:val="47594A32"/>
    <w:rsid w:val="47795E1B"/>
    <w:rsid w:val="47940E59"/>
    <w:rsid w:val="47AE4ABE"/>
    <w:rsid w:val="47EF6C94"/>
    <w:rsid w:val="480E08BE"/>
    <w:rsid w:val="4824097C"/>
    <w:rsid w:val="482D14E3"/>
    <w:rsid w:val="484F56FA"/>
    <w:rsid w:val="48697468"/>
    <w:rsid w:val="490D7676"/>
    <w:rsid w:val="497679DB"/>
    <w:rsid w:val="499B06D2"/>
    <w:rsid w:val="49CF05EE"/>
    <w:rsid w:val="49F249FE"/>
    <w:rsid w:val="4A081012"/>
    <w:rsid w:val="4A213475"/>
    <w:rsid w:val="4A2462D0"/>
    <w:rsid w:val="4A331A98"/>
    <w:rsid w:val="4A453ECE"/>
    <w:rsid w:val="4A5874F6"/>
    <w:rsid w:val="4A703CFF"/>
    <w:rsid w:val="4A855070"/>
    <w:rsid w:val="4AD16025"/>
    <w:rsid w:val="4AE0549F"/>
    <w:rsid w:val="4B0152BB"/>
    <w:rsid w:val="4B212FA7"/>
    <w:rsid w:val="4B2C4196"/>
    <w:rsid w:val="4BB14F02"/>
    <w:rsid w:val="4BB26C34"/>
    <w:rsid w:val="4C1E3664"/>
    <w:rsid w:val="4C385C92"/>
    <w:rsid w:val="4C876772"/>
    <w:rsid w:val="4CD13341"/>
    <w:rsid w:val="4CE37C89"/>
    <w:rsid w:val="4CF8153C"/>
    <w:rsid w:val="4D150414"/>
    <w:rsid w:val="4D1D031D"/>
    <w:rsid w:val="4D6C0D8F"/>
    <w:rsid w:val="4D6E5341"/>
    <w:rsid w:val="4D95429C"/>
    <w:rsid w:val="4D963441"/>
    <w:rsid w:val="4DB63E3F"/>
    <w:rsid w:val="4DBB3937"/>
    <w:rsid w:val="4DCE7C4E"/>
    <w:rsid w:val="4E06686B"/>
    <w:rsid w:val="4E570757"/>
    <w:rsid w:val="4EA562C5"/>
    <w:rsid w:val="4EB12936"/>
    <w:rsid w:val="4EE00C13"/>
    <w:rsid w:val="4EE9191D"/>
    <w:rsid w:val="4F06356D"/>
    <w:rsid w:val="4F437637"/>
    <w:rsid w:val="4F8234AA"/>
    <w:rsid w:val="4FA4297D"/>
    <w:rsid w:val="501A3A58"/>
    <w:rsid w:val="503D09F5"/>
    <w:rsid w:val="5081409E"/>
    <w:rsid w:val="50A16FD9"/>
    <w:rsid w:val="50DE4FCB"/>
    <w:rsid w:val="50FC5878"/>
    <w:rsid w:val="5138606C"/>
    <w:rsid w:val="523B3D68"/>
    <w:rsid w:val="523C578C"/>
    <w:rsid w:val="524739AD"/>
    <w:rsid w:val="529311CC"/>
    <w:rsid w:val="529424CC"/>
    <w:rsid w:val="52C97697"/>
    <w:rsid w:val="53137A6C"/>
    <w:rsid w:val="536826C0"/>
    <w:rsid w:val="537926D9"/>
    <w:rsid w:val="537E7999"/>
    <w:rsid w:val="538711FC"/>
    <w:rsid w:val="54066985"/>
    <w:rsid w:val="54356BDE"/>
    <w:rsid w:val="54385893"/>
    <w:rsid w:val="54543F61"/>
    <w:rsid w:val="55522D00"/>
    <w:rsid w:val="55824BCE"/>
    <w:rsid w:val="558563C9"/>
    <w:rsid w:val="55D34291"/>
    <w:rsid w:val="55FC5B5B"/>
    <w:rsid w:val="561E4DCB"/>
    <w:rsid w:val="5631674F"/>
    <w:rsid w:val="56371204"/>
    <w:rsid w:val="56400DEF"/>
    <w:rsid w:val="565D4D19"/>
    <w:rsid w:val="569A5907"/>
    <w:rsid w:val="56A73F06"/>
    <w:rsid w:val="56E821F6"/>
    <w:rsid w:val="574F574C"/>
    <w:rsid w:val="57530013"/>
    <w:rsid w:val="57682367"/>
    <w:rsid w:val="57C067EF"/>
    <w:rsid w:val="57D42552"/>
    <w:rsid w:val="5842073A"/>
    <w:rsid w:val="586B55CC"/>
    <w:rsid w:val="597726B0"/>
    <w:rsid w:val="59CB2CB5"/>
    <w:rsid w:val="59D064CF"/>
    <w:rsid w:val="5A017103"/>
    <w:rsid w:val="5A3019CF"/>
    <w:rsid w:val="5A471F20"/>
    <w:rsid w:val="5A617526"/>
    <w:rsid w:val="5A7D304D"/>
    <w:rsid w:val="5AA531A6"/>
    <w:rsid w:val="5AE406F3"/>
    <w:rsid w:val="5B0D17AB"/>
    <w:rsid w:val="5B231303"/>
    <w:rsid w:val="5B557B08"/>
    <w:rsid w:val="5B613C7B"/>
    <w:rsid w:val="5BCE5A24"/>
    <w:rsid w:val="5C117931"/>
    <w:rsid w:val="5C2B429A"/>
    <w:rsid w:val="5C69577F"/>
    <w:rsid w:val="5C7A347B"/>
    <w:rsid w:val="5CA3433B"/>
    <w:rsid w:val="5CB27AE5"/>
    <w:rsid w:val="5CE768EE"/>
    <w:rsid w:val="5D084648"/>
    <w:rsid w:val="5D0927B0"/>
    <w:rsid w:val="5D5601C7"/>
    <w:rsid w:val="5D6B6749"/>
    <w:rsid w:val="5E1E5BF1"/>
    <w:rsid w:val="5E3037F6"/>
    <w:rsid w:val="5E757489"/>
    <w:rsid w:val="5E8109C8"/>
    <w:rsid w:val="5E962798"/>
    <w:rsid w:val="5EBC1EC5"/>
    <w:rsid w:val="5EEE1D7C"/>
    <w:rsid w:val="5F1F2E7C"/>
    <w:rsid w:val="5F47599D"/>
    <w:rsid w:val="5FAE308D"/>
    <w:rsid w:val="5FB90619"/>
    <w:rsid w:val="603B1C3B"/>
    <w:rsid w:val="604058C6"/>
    <w:rsid w:val="60AA406F"/>
    <w:rsid w:val="60B33EBA"/>
    <w:rsid w:val="60B47E74"/>
    <w:rsid w:val="60D527CD"/>
    <w:rsid w:val="61733DD6"/>
    <w:rsid w:val="617F615E"/>
    <w:rsid w:val="61E23A85"/>
    <w:rsid w:val="625C0240"/>
    <w:rsid w:val="62BD669C"/>
    <w:rsid w:val="62CD6BE1"/>
    <w:rsid w:val="62D76D94"/>
    <w:rsid w:val="62D81EC7"/>
    <w:rsid w:val="62D82DD3"/>
    <w:rsid w:val="62E63518"/>
    <w:rsid w:val="62FC03F9"/>
    <w:rsid w:val="62FD0260"/>
    <w:rsid w:val="634D7CF5"/>
    <w:rsid w:val="63997FF5"/>
    <w:rsid w:val="63E949DE"/>
    <w:rsid w:val="63F52111"/>
    <w:rsid w:val="641B3F3E"/>
    <w:rsid w:val="64384FFB"/>
    <w:rsid w:val="64993065"/>
    <w:rsid w:val="64EB0C44"/>
    <w:rsid w:val="650A5677"/>
    <w:rsid w:val="651A7EE8"/>
    <w:rsid w:val="659636CD"/>
    <w:rsid w:val="65A835FC"/>
    <w:rsid w:val="65B35DC3"/>
    <w:rsid w:val="662B0723"/>
    <w:rsid w:val="66834D76"/>
    <w:rsid w:val="66B50347"/>
    <w:rsid w:val="66D01D46"/>
    <w:rsid w:val="66D90276"/>
    <w:rsid w:val="66E77207"/>
    <w:rsid w:val="670F271F"/>
    <w:rsid w:val="672C691A"/>
    <w:rsid w:val="672E44F2"/>
    <w:rsid w:val="67BB17A6"/>
    <w:rsid w:val="67FD3BCD"/>
    <w:rsid w:val="68225A48"/>
    <w:rsid w:val="685E44E1"/>
    <w:rsid w:val="68867CFF"/>
    <w:rsid w:val="68945B73"/>
    <w:rsid w:val="68A83CA1"/>
    <w:rsid w:val="68D51B7B"/>
    <w:rsid w:val="68E86D98"/>
    <w:rsid w:val="69183F37"/>
    <w:rsid w:val="69873254"/>
    <w:rsid w:val="69A92E85"/>
    <w:rsid w:val="69D81F6E"/>
    <w:rsid w:val="69EF5B70"/>
    <w:rsid w:val="69FA4444"/>
    <w:rsid w:val="6A21500A"/>
    <w:rsid w:val="6AAA4B7F"/>
    <w:rsid w:val="6AB35818"/>
    <w:rsid w:val="6ADE3A55"/>
    <w:rsid w:val="6B0C10EF"/>
    <w:rsid w:val="6B506E59"/>
    <w:rsid w:val="6BA46E00"/>
    <w:rsid w:val="6BB1301B"/>
    <w:rsid w:val="6BE36442"/>
    <w:rsid w:val="6BE950CE"/>
    <w:rsid w:val="6BED4ACE"/>
    <w:rsid w:val="6BFD2F84"/>
    <w:rsid w:val="6C07721B"/>
    <w:rsid w:val="6C5D3531"/>
    <w:rsid w:val="6CA1404B"/>
    <w:rsid w:val="6CAF52EA"/>
    <w:rsid w:val="6CC233CE"/>
    <w:rsid w:val="6D7910C6"/>
    <w:rsid w:val="6DCC5B05"/>
    <w:rsid w:val="6E113DB4"/>
    <w:rsid w:val="6E124328"/>
    <w:rsid w:val="6E3F54ED"/>
    <w:rsid w:val="6E782E2F"/>
    <w:rsid w:val="6E9F29A5"/>
    <w:rsid w:val="6EAF546E"/>
    <w:rsid w:val="6EC50DCB"/>
    <w:rsid w:val="6F0347BE"/>
    <w:rsid w:val="6F0F7186"/>
    <w:rsid w:val="6F1F7D4C"/>
    <w:rsid w:val="6F786EF3"/>
    <w:rsid w:val="6F9E0E74"/>
    <w:rsid w:val="70281646"/>
    <w:rsid w:val="702C38D9"/>
    <w:rsid w:val="706418CD"/>
    <w:rsid w:val="70D00287"/>
    <w:rsid w:val="70F5560A"/>
    <w:rsid w:val="710152CF"/>
    <w:rsid w:val="71215484"/>
    <w:rsid w:val="715B79F1"/>
    <w:rsid w:val="717F354D"/>
    <w:rsid w:val="71DF7D69"/>
    <w:rsid w:val="72086A47"/>
    <w:rsid w:val="72190039"/>
    <w:rsid w:val="72445114"/>
    <w:rsid w:val="725779F0"/>
    <w:rsid w:val="729D78A3"/>
    <w:rsid w:val="72C32207"/>
    <w:rsid w:val="72C4197B"/>
    <w:rsid w:val="72D00846"/>
    <w:rsid w:val="73045A92"/>
    <w:rsid w:val="73700E4D"/>
    <w:rsid w:val="73EF49F5"/>
    <w:rsid w:val="74006A50"/>
    <w:rsid w:val="74436E87"/>
    <w:rsid w:val="7474361E"/>
    <w:rsid w:val="74970A31"/>
    <w:rsid w:val="758E6EDE"/>
    <w:rsid w:val="7591020A"/>
    <w:rsid w:val="759938A5"/>
    <w:rsid w:val="759C6474"/>
    <w:rsid w:val="763516C6"/>
    <w:rsid w:val="763A09CB"/>
    <w:rsid w:val="76777C95"/>
    <w:rsid w:val="7692538B"/>
    <w:rsid w:val="774C7B50"/>
    <w:rsid w:val="77663AA7"/>
    <w:rsid w:val="77696FC4"/>
    <w:rsid w:val="77CC3FB9"/>
    <w:rsid w:val="78445F0E"/>
    <w:rsid w:val="78B051B0"/>
    <w:rsid w:val="791F5951"/>
    <w:rsid w:val="79285AF6"/>
    <w:rsid w:val="7933700A"/>
    <w:rsid w:val="79573DDE"/>
    <w:rsid w:val="7A102029"/>
    <w:rsid w:val="7A5913FD"/>
    <w:rsid w:val="7A712FAD"/>
    <w:rsid w:val="7AA4463B"/>
    <w:rsid w:val="7AAA72A9"/>
    <w:rsid w:val="7ABC7736"/>
    <w:rsid w:val="7B0374D1"/>
    <w:rsid w:val="7BAD582B"/>
    <w:rsid w:val="7BE71EC1"/>
    <w:rsid w:val="7C181D14"/>
    <w:rsid w:val="7C6648B2"/>
    <w:rsid w:val="7CAF7DEB"/>
    <w:rsid w:val="7CEE41E5"/>
    <w:rsid w:val="7D05623C"/>
    <w:rsid w:val="7D281714"/>
    <w:rsid w:val="7D2B7D94"/>
    <w:rsid w:val="7DA12B94"/>
    <w:rsid w:val="7E13337F"/>
    <w:rsid w:val="7E1D2EA9"/>
    <w:rsid w:val="7E714D7A"/>
    <w:rsid w:val="7E841D1B"/>
    <w:rsid w:val="7EE54B83"/>
    <w:rsid w:val="7EF62D45"/>
    <w:rsid w:val="7F3F27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iPriority="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qFormat/>
    <w:uiPriority w:val="0"/>
    <w:pPr>
      <w:spacing w:before="240" w:after="60"/>
      <w:outlineLvl w:val="1"/>
    </w:pPr>
    <w:rPr>
      <w:rFonts w:eastAsia="MS Mincho"/>
      <w:iCs/>
      <w:szCs w:val="28"/>
    </w:rPr>
  </w:style>
  <w:style w:type="paragraph" w:styleId="4">
    <w:name w:val="heading 3"/>
    <w:basedOn w:val="3"/>
    <w:next w:val="1"/>
    <w:link w:val="42"/>
    <w:qFormat/>
    <w:uiPriority w:val="0"/>
    <w:pPr>
      <w:numPr>
        <w:ilvl w:val="2"/>
      </w:numPr>
      <w:outlineLvl w:val="2"/>
    </w:pPr>
    <w:rPr>
      <w:sz w:val="26"/>
      <w:szCs w:val="26"/>
    </w:rPr>
  </w:style>
  <w:style w:type="paragraph" w:styleId="5">
    <w:name w:val="heading 4"/>
    <w:basedOn w:val="4"/>
    <w:next w:val="1"/>
    <w:qFormat/>
    <w:uiPriority w:val="0"/>
    <w:pPr>
      <w:numPr>
        <w:ilvl w:val="3"/>
      </w:numPr>
      <w:outlineLvl w:val="3"/>
    </w:pPr>
    <w:rPr>
      <w:sz w:val="28"/>
      <w:szCs w:val="28"/>
    </w:rPr>
  </w:style>
  <w:style w:type="paragraph" w:styleId="6">
    <w:name w:val="heading 5"/>
    <w:basedOn w:val="1"/>
    <w:next w:val="1"/>
    <w:qFormat/>
    <w:uiPriority w:val="0"/>
    <w:pPr>
      <w:keepNext/>
      <w:keepLines/>
      <w:tabs>
        <w:tab w:val="left" w:pos="1188"/>
      </w:tabs>
      <w:spacing w:before="280" w:after="290" w:line="376" w:lineRule="auto"/>
      <w:ind w:left="851" w:hanging="851"/>
      <w:outlineLvl w:val="4"/>
    </w:pPr>
    <w:rPr>
      <w:b/>
      <w:bCs/>
      <w:sz w:val="28"/>
      <w:szCs w:val="28"/>
    </w:rPr>
  </w:style>
  <w:style w:type="paragraph" w:styleId="7">
    <w:name w:val="heading 6"/>
    <w:basedOn w:val="1"/>
    <w:next w:val="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8">
    <w:name w:val="heading 7"/>
    <w:basedOn w:val="1"/>
    <w:next w:val="1"/>
    <w:qFormat/>
    <w:uiPriority w:val="0"/>
    <w:pPr>
      <w:keepNext/>
      <w:keepLines/>
      <w:tabs>
        <w:tab w:val="left" w:pos="1476"/>
      </w:tabs>
      <w:spacing w:before="240" w:after="64" w:line="320" w:lineRule="auto"/>
      <w:ind w:left="1476" w:hanging="1476"/>
      <w:outlineLvl w:val="6"/>
    </w:pPr>
    <w:rPr>
      <w:b/>
      <w:bCs/>
      <w:sz w:val="24"/>
    </w:rPr>
  </w:style>
  <w:style w:type="paragraph" w:styleId="9">
    <w:name w:val="heading 8"/>
    <w:basedOn w:val="1"/>
    <w:next w:val="1"/>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0">
    <w:name w:val="heading 9"/>
    <w:basedOn w:val="1"/>
    <w:next w:val="1"/>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1">
    <w:name w:val="List 3"/>
    <w:basedOn w:val="1"/>
    <w:semiHidden/>
    <w:unhideWhenUsed/>
    <w:qFormat/>
    <w:uiPriority w:val="0"/>
    <w:pPr>
      <w:ind w:left="849" w:hanging="283"/>
      <w:contextualSpacing/>
    </w:pPr>
  </w:style>
  <w:style w:type="paragraph" w:styleId="12">
    <w:name w:val="caption"/>
    <w:basedOn w:val="1"/>
    <w:next w:val="1"/>
    <w:link w:val="29"/>
    <w:qFormat/>
    <w:uiPriority w:val="0"/>
    <w:pPr>
      <w:overflowPunct w:val="0"/>
      <w:autoSpaceDE w:val="0"/>
      <w:autoSpaceDN w:val="0"/>
      <w:adjustRightInd w:val="0"/>
      <w:spacing w:before="120" w:after="120"/>
      <w:textAlignment w:val="baseline"/>
    </w:pPr>
    <w:rPr>
      <w:szCs w:val="20"/>
      <w:lang w:val="en-GB"/>
    </w:rPr>
  </w:style>
  <w:style w:type="paragraph" w:styleId="13">
    <w:name w:val="Document Map"/>
    <w:basedOn w:val="1"/>
    <w:semiHidden/>
    <w:qFormat/>
    <w:uiPriority w:val="0"/>
    <w:pPr>
      <w:shd w:val="clear" w:color="auto" w:fill="000080"/>
    </w:pPr>
  </w:style>
  <w:style w:type="paragraph" w:styleId="14">
    <w:name w:val="annotation text"/>
    <w:basedOn w:val="1"/>
    <w:semiHidden/>
    <w:qFormat/>
    <w:uiPriority w:val="0"/>
  </w:style>
  <w:style w:type="paragraph" w:styleId="15">
    <w:name w:val="Body Text"/>
    <w:basedOn w:val="1"/>
    <w:link w:val="43"/>
    <w:qFormat/>
    <w:uiPriority w:val="0"/>
    <w:pPr>
      <w:spacing w:after="120"/>
      <w:jc w:val="both"/>
    </w:pPr>
    <w:rPr>
      <w:rFonts w:eastAsia="MS Mincho"/>
    </w:rPr>
  </w:style>
  <w:style w:type="paragraph" w:styleId="16">
    <w:name w:val="List 2"/>
    <w:basedOn w:val="17"/>
    <w:qFormat/>
    <w:uiPriority w:val="0"/>
    <w:pPr>
      <w:numPr>
        <w:ilvl w:val="0"/>
        <w:numId w:val="2"/>
      </w:numPr>
      <w:spacing w:before="180"/>
    </w:pPr>
    <w:rPr>
      <w:rFonts w:ascii="Arial" w:hAnsi="Arial"/>
      <w:sz w:val="22"/>
      <w:szCs w:val="20"/>
    </w:rPr>
  </w:style>
  <w:style w:type="paragraph" w:styleId="17">
    <w:name w:val="List"/>
    <w:basedOn w:val="1"/>
    <w:qFormat/>
    <w:uiPriority w:val="0"/>
    <w:pPr>
      <w:ind w:left="283" w:hanging="283"/>
    </w:pPr>
  </w:style>
  <w:style w:type="paragraph" w:styleId="18">
    <w:name w:val="toc 8"/>
    <w:basedOn w:val="19"/>
    <w:next w:val="1"/>
    <w:qFormat/>
    <w:uiPriority w:val="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9">
    <w:name w:val="toc 1"/>
    <w:basedOn w:val="1"/>
    <w:next w:val="1"/>
    <w:qFormat/>
    <w:uiPriority w:val="0"/>
  </w:style>
  <w:style w:type="paragraph" w:styleId="20">
    <w:name w:val="Balloon Text"/>
    <w:basedOn w:val="1"/>
    <w:semiHidden/>
    <w:qFormat/>
    <w:uiPriority w:val="0"/>
    <w:rPr>
      <w:sz w:val="18"/>
      <w:szCs w:val="18"/>
    </w:rPr>
  </w:style>
  <w:style w:type="paragraph" w:styleId="21">
    <w:name w:val="footer"/>
    <w:basedOn w:val="1"/>
    <w:qFormat/>
    <w:uiPriority w:val="0"/>
    <w:pPr>
      <w:tabs>
        <w:tab w:val="center" w:pos="4153"/>
        <w:tab w:val="right" w:pos="8306"/>
      </w:tabs>
      <w:snapToGrid w:val="0"/>
    </w:pPr>
    <w:rPr>
      <w:sz w:val="18"/>
      <w:szCs w:val="18"/>
    </w:rPr>
  </w:style>
  <w:style w:type="paragraph" w:styleId="22">
    <w:name w:val="header"/>
    <w:basedOn w:val="1"/>
    <w:link w:val="49"/>
    <w:qFormat/>
    <w:uiPriority w:val="99"/>
    <w:pPr>
      <w:tabs>
        <w:tab w:val="center" w:pos="4536"/>
        <w:tab w:val="right" w:pos="9072"/>
      </w:tabs>
    </w:pPr>
    <w:rPr>
      <w:rFonts w:ascii="Arial" w:hAnsi="Arial" w:eastAsia="MS Mincho"/>
      <w:b/>
    </w:rPr>
  </w:style>
  <w:style w:type="paragraph" w:styleId="23">
    <w:name w:val="annotation subject"/>
    <w:basedOn w:val="14"/>
    <w:next w:val="14"/>
    <w:semiHidden/>
    <w:qFormat/>
    <w:uiPriority w:val="0"/>
    <w:rPr>
      <w:b/>
      <w:bCs/>
    </w:rPr>
  </w:style>
  <w:style w:type="table" w:styleId="25">
    <w:name w:val="Table Grid"/>
    <w:basedOn w:val="2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Hyperlink"/>
    <w:qFormat/>
    <w:uiPriority w:val="99"/>
    <w:rPr>
      <w:color w:val="0000FF"/>
      <w:u w:val="single"/>
    </w:rPr>
  </w:style>
  <w:style w:type="character" w:styleId="28">
    <w:name w:val="annotation reference"/>
    <w:semiHidden/>
    <w:qFormat/>
    <w:uiPriority w:val="0"/>
    <w:rPr>
      <w:sz w:val="21"/>
      <w:szCs w:val="21"/>
    </w:rPr>
  </w:style>
  <w:style w:type="character" w:customStyle="1" w:styleId="29">
    <w:name w:val="题注 Char"/>
    <w:link w:val="12"/>
    <w:qFormat/>
    <w:uiPriority w:val="0"/>
    <w:rPr>
      <w:lang w:val="en-GB" w:eastAsia="en-US" w:bidi="ar-SA"/>
    </w:rPr>
  </w:style>
  <w:style w:type="paragraph" w:customStyle="1" w:styleId="30">
    <w:name w:val="TAC"/>
    <w:basedOn w:val="1"/>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31">
    <w:name w:val="TAL"/>
    <w:basedOn w:val="1"/>
    <w:qFormat/>
    <w:uiPriority w:val="0"/>
    <w:pPr>
      <w:keepNext/>
      <w:keepLines/>
    </w:pPr>
    <w:rPr>
      <w:rFonts w:ascii="Arial" w:hAnsi="Arial"/>
      <w:sz w:val="18"/>
      <w:szCs w:val="20"/>
      <w:lang w:val="en-GB"/>
    </w:rPr>
  </w:style>
  <w:style w:type="paragraph" w:customStyle="1" w:styleId="32">
    <w:name w:val="TAH"/>
    <w:basedOn w:val="1"/>
    <w:qFormat/>
    <w:uiPriority w:val="0"/>
    <w:pPr>
      <w:keepNext/>
      <w:keepLines/>
      <w:jc w:val="center"/>
    </w:pPr>
    <w:rPr>
      <w:rFonts w:ascii="Arial" w:hAnsi="Arial"/>
      <w:b/>
      <w:sz w:val="18"/>
      <w:szCs w:val="20"/>
      <w:lang w:val="en-GB"/>
    </w:rPr>
  </w:style>
  <w:style w:type="paragraph" w:customStyle="1" w:styleId="33">
    <w:name w:val="TH"/>
    <w:basedOn w:val="1"/>
    <w:link w:val="60"/>
    <w:qFormat/>
    <w:uiPriority w:val="0"/>
    <w:pPr>
      <w:keepNext/>
      <w:keepLines/>
      <w:spacing w:before="60" w:after="180"/>
      <w:jc w:val="center"/>
    </w:pPr>
    <w:rPr>
      <w:rFonts w:ascii="Arial" w:hAnsi="Arial"/>
      <w:b/>
      <w:szCs w:val="20"/>
      <w:lang w:val="en-GB"/>
    </w:rPr>
  </w:style>
  <w:style w:type="paragraph" w:customStyle="1" w:styleId="34">
    <w:name w:val="TF"/>
    <w:basedOn w:val="33"/>
    <w:qFormat/>
    <w:uiPriority w:val="0"/>
    <w:pPr>
      <w:keepNext w:val="0"/>
      <w:spacing w:before="0" w:after="240"/>
    </w:pPr>
  </w:style>
  <w:style w:type="paragraph" w:customStyle="1" w:styleId="35">
    <w:name w:val="Char Char Char Char Char Char Char Char Char Char Char Char Char"/>
    <w:basedOn w:val="13"/>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36">
    <w:name w:val="Char Char1 Char Char"/>
    <w:basedOn w:val="1"/>
    <w:qFormat/>
    <w:uiPriority w:val="0"/>
    <w:rPr>
      <w:rFonts w:ascii="Times" w:hAnsi="Times"/>
      <w:sz w:val="22"/>
      <w:szCs w:val="20"/>
    </w:rPr>
  </w:style>
  <w:style w:type="paragraph" w:customStyle="1" w:styleId="37">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38">
    <w:name w:val="Tdoc_Heading_1"/>
    <w:basedOn w:val="2"/>
    <w:next w:val="15"/>
    <w:qFormat/>
    <w:uiPriority w:val="0"/>
    <w:pPr>
      <w:numPr>
        <w:numId w:val="4"/>
      </w:numPr>
      <w:tabs>
        <w:tab w:val="left" w:pos="360"/>
      </w:tabs>
      <w:spacing w:before="240"/>
      <w:ind w:left="357" w:hanging="357"/>
      <w:jc w:val="both"/>
    </w:pPr>
    <w:rPr>
      <w:rFonts w:eastAsia="Batang" w:cs="Times New Roman"/>
      <w:bCs w:val="0"/>
      <w:kern w:val="28"/>
      <w:sz w:val="24"/>
      <w:szCs w:val="20"/>
      <w:lang w:eastAsia="en-US"/>
    </w:rPr>
  </w:style>
  <w:style w:type="paragraph" w:customStyle="1" w:styleId="39">
    <w:name w:val="Motorola Response1 Char Char Char Char Char Char"/>
    <w:next w:val="1"/>
    <w:semiHidden/>
    <w:qFormat/>
    <w:uiPriority w:val="0"/>
    <w:pPr>
      <w:keepNext/>
      <w:tabs>
        <w:tab w:val="left" w:pos="420"/>
      </w:tabs>
      <w:autoSpaceDE w:val="0"/>
      <w:autoSpaceDN w:val="0"/>
      <w:adjustRightInd w:val="0"/>
      <w:spacing w:after="160" w:line="259" w:lineRule="auto"/>
      <w:ind w:left="420" w:hanging="420"/>
      <w:jc w:val="both"/>
    </w:pPr>
    <w:rPr>
      <w:rFonts w:ascii="Times New Roman" w:hAnsi="Times New Roman" w:eastAsia="Times New Roman" w:cs="Times New Roman"/>
      <w:kern w:val="2"/>
      <w:lang w:val="en-GB" w:eastAsia="zh-CN" w:bidi="ar-SA"/>
    </w:rPr>
  </w:style>
  <w:style w:type="paragraph" w:customStyle="1" w:styleId="40">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
    <w:name w:val="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42">
    <w:name w:val="标题 3 Char"/>
    <w:link w:val="4"/>
    <w:qFormat/>
    <w:uiPriority w:val="0"/>
    <w:rPr>
      <w:rFonts w:ascii="Arial" w:hAnsi="Arial" w:eastAsia="MS Mincho" w:cs="Arial"/>
      <w:b/>
      <w:bCs/>
      <w:sz w:val="26"/>
      <w:szCs w:val="26"/>
      <w:lang w:eastAsia="en-US"/>
    </w:rPr>
  </w:style>
  <w:style w:type="character" w:customStyle="1" w:styleId="43">
    <w:name w:val="正文文本 Char"/>
    <w:link w:val="15"/>
    <w:qFormat/>
    <w:uiPriority w:val="0"/>
    <w:rPr>
      <w:rFonts w:eastAsia="MS Mincho"/>
      <w:szCs w:val="24"/>
      <w:lang w:val="en-US" w:eastAsia="en-US" w:bidi="ar-SA"/>
    </w:rPr>
  </w:style>
  <w:style w:type="paragraph" w:customStyle="1" w:styleId="44">
    <w:name w:val="Char Char Char Char Char Char Char Char Char Char Char Char Char Char Char Char"/>
    <w:basedOn w:val="13"/>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45">
    <w:name w:val="Char Char Char Char Char Char Char Char Char Char"/>
    <w:basedOn w:val="13"/>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46">
    <w:name w:val="LGTdoc_본문"/>
    <w:basedOn w:val="1"/>
    <w:link w:val="47"/>
    <w:qFormat/>
    <w:uiPriority w:val="0"/>
    <w:pPr>
      <w:widowControl w:val="0"/>
      <w:autoSpaceDE w:val="0"/>
      <w:autoSpaceDN w:val="0"/>
      <w:adjustRightInd w:val="0"/>
      <w:snapToGrid w:val="0"/>
      <w:spacing w:after="120" w:afterLines="50" w:line="264" w:lineRule="auto"/>
      <w:jc w:val="both"/>
    </w:pPr>
    <w:rPr>
      <w:rFonts w:eastAsia="Batang"/>
      <w:kern w:val="2"/>
      <w:sz w:val="22"/>
      <w:lang w:val="en-GB" w:eastAsia="ko-KR"/>
    </w:rPr>
  </w:style>
  <w:style w:type="character" w:customStyle="1" w:styleId="47">
    <w:name w:val="LGTdoc_본문 Char"/>
    <w:link w:val="46"/>
    <w:qFormat/>
    <w:uiPriority w:val="0"/>
    <w:rPr>
      <w:rFonts w:eastAsia="Batang"/>
      <w:kern w:val="2"/>
      <w:sz w:val="22"/>
      <w:szCs w:val="24"/>
      <w:lang w:val="en-GB" w:eastAsia="ko-KR" w:bidi="ar-SA"/>
    </w:rPr>
  </w:style>
  <w:style w:type="paragraph" w:customStyle="1" w:styleId="48">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character" w:customStyle="1" w:styleId="49">
    <w:name w:val="页眉 Char"/>
    <w:link w:val="22"/>
    <w:qFormat/>
    <w:uiPriority w:val="99"/>
    <w:rPr>
      <w:rFonts w:ascii="Arial" w:hAnsi="Arial" w:eastAsia="MS Mincho"/>
      <w:b/>
      <w:szCs w:val="24"/>
      <w:lang w:val="en-US" w:eastAsia="en-US" w:bidi="ar-SA"/>
    </w:rPr>
  </w:style>
  <w:style w:type="character" w:customStyle="1" w:styleId="50">
    <w:name w:val="bt Char"/>
    <w:qFormat/>
    <w:uiPriority w:val="0"/>
    <w:rPr>
      <w:rFonts w:ascii="Arial" w:hAnsi="Arial" w:eastAsia="MS Mincho" w:cs="Arial"/>
      <w:color w:val="0000FF"/>
      <w:kern w:val="2"/>
      <w:szCs w:val="24"/>
      <w:lang w:val="en-US" w:eastAsia="en-US" w:bidi="ar-SA"/>
    </w:rPr>
  </w:style>
  <w:style w:type="paragraph" w:customStyle="1" w:styleId="51">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character" w:customStyle="1" w:styleId="52">
    <w:name w:val="apple-converted-space"/>
    <w:basedOn w:val="26"/>
    <w:qFormat/>
    <w:uiPriority w:val="0"/>
  </w:style>
  <w:style w:type="paragraph" w:customStyle="1" w:styleId="53">
    <w:name w:val="ecxmsobodytext"/>
    <w:basedOn w:val="1"/>
    <w:qFormat/>
    <w:uiPriority w:val="0"/>
    <w:pPr>
      <w:spacing w:before="100" w:beforeAutospacing="1" w:after="100" w:afterAutospacing="1"/>
    </w:pPr>
    <w:rPr>
      <w:rFonts w:ascii="宋体" w:hAnsi="宋体" w:eastAsia="宋体" w:cs="宋体"/>
      <w:sz w:val="24"/>
      <w:lang w:eastAsia="zh-CN"/>
    </w:rPr>
  </w:style>
  <w:style w:type="paragraph" w:customStyle="1" w:styleId="54">
    <w:name w:val="ecxmsonormal"/>
    <w:basedOn w:val="1"/>
    <w:qFormat/>
    <w:uiPriority w:val="0"/>
    <w:pPr>
      <w:spacing w:before="100" w:beforeAutospacing="1" w:after="100" w:afterAutospacing="1"/>
    </w:pPr>
    <w:rPr>
      <w:rFonts w:ascii="宋体" w:hAnsi="宋体" w:eastAsia="宋体" w:cs="宋体"/>
      <w:sz w:val="24"/>
      <w:lang w:eastAsia="zh-CN"/>
    </w:rPr>
  </w:style>
  <w:style w:type="paragraph" w:styleId="55">
    <w:name w:val="List Paragraph"/>
    <w:basedOn w:val="1"/>
    <w:link w:val="65"/>
    <w:qFormat/>
    <w:uiPriority w:val="34"/>
    <w:pPr>
      <w:widowControl w:val="0"/>
      <w:ind w:firstLine="420" w:firstLineChars="200"/>
      <w:jc w:val="both"/>
    </w:pPr>
    <w:rPr>
      <w:rFonts w:ascii="Calibri" w:hAnsi="Calibri" w:eastAsia="宋体"/>
      <w:kern w:val="2"/>
      <w:sz w:val="21"/>
      <w:szCs w:val="22"/>
      <w:lang w:eastAsia="zh-CN"/>
    </w:rPr>
  </w:style>
  <w:style w:type="paragraph" w:customStyle="1" w:styleId="56">
    <w:name w:val="H6"/>
    <w:basedOn w:val="6"/>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57">
    <w:name w:val="B1"/>
    <w:basedOn w:val="17"/>
    <w:link w:val="59"/>
    <w:qFormat/>
    <w:uiPriority w:val="0"/>
    <w:pPr>
      <w:overflowPunct w:val="0"/>
      <w:autoSpaceDE w:val="0"/>
      <w:autoSpaceDN w:val="0"/>
      <w:adjustRightInd w:val="0"/>
      <w:spacing w:after="180"/>
      <w:ind w:left="568" w:hanging="284"/>
      <w:textAlignment w:val="baseline"/>
    </w:pPr>
    <w:rPr>
      <w:szCs w:val="20"/>
      <w:lang w:val="en-GB" w:eastAsia="en-GB"/>
    </w:rPr>
  </w:style>
  <w:style w:type="paragraph" w:customStyle="1" w:styleId="58">
    <w:name w:val="B2"/>
    <w:basedOn w:val="16"/>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59">
    <w:name w:val="B1 (文字)"/>
    <w:link w:val="57"/>
    <w:qFormat/>
    <w:uiPriority w:val="0"/>
    <w:rPr>
      <w:rFonts w:eastAsia="Times New Roman"/>
      <w:lang w:val="en-GB" w:eastAsia="en-GB"/>
    </w:rPr>
  </w:style>
  <w:style w:type="character" w:customStyle="1" w:styleId="60">
    <w:name w:val="TH Char"/>
    <w:link w:val="33"/>
    <w:qFormat/>
    <w:uiPriority w:val="0"/>
    <w:rPr>
      <w:rFonts w:ascii="Arial" w:hAnsi="Arial" w:eastAsia="Times New Roman"/>
      <w:b/>
      <w:lang w:val="en-GB" w:eastAsia="en-US"/>
    </w:rPr>
  </w:style>
  <w:style w:type="paragraph" w:customStyle="1" w:styleId="61">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62">
    <w:name w:val="Revision1"/>
    <w:hidden/>
    <w:semiHidden/>
    <w:qFormat/>
    <w:uiPriority w:val="99"/>
    <w:pPr>
      <w:spacing w:after="160" w:line="259" w:lineRule="auto"/>
    </w:pPr>
    <w:rPr>
      <w:rFonts w:ascii="Times New Roman" w:hAnsi="Times New Roman" w:eastAsia="Times New Roman" w:cs="Times New Roman"/>
      <w:szCs w:val="24"/>
      <w:lang w:val="en-US" w:eastAsia="en-US" w:bidi="ar-SA"/>
    </w:rPr>
  </w:style>
  <w:style w:type="paragraph" w:customStyle="1" w:styleId="63">
    <w:name w:val="Doc-text2"/>
    <w:basedOn w:val="1"/>
    <w:link w:val="64"/>
    <w:qFormat/>
    <w:uiPriority w:val="0"/>
    <w:pPr>
      <w:tabs>
        <w:tab w:val="left" w:pos="1622"/>
      </w:tabs>
      <w:ind w:left="1622" w:hanging="363"/>
    </w:pPr>
    <w:rPr>
      <w:rFonts w:ascii="Arial" w:hAnsi="Arial" w:eastAsia="MS Mincho"/>
      <w:lang w:val="en-GB" w:eastAsia="en-GB"/>
    </w:rPr>
  </w:style>
  <w:style w:type="character" w:customStyle="1" w:styleId="64">
    <w:name w:val="Doc-text2 Char"/>
    <w:link w:val="63"/>
    <w:qFormat/>
    <w:uiPriority w:val="0"/>
    <w:rPr>
      <w:rFonts w:ascii="Arial" w:hAnsi="Arial" w:eastAsia="MS Mincho"/>
      <w:szCs w:val="24"/>
      <w:lang w:val="en-GB" w:eastAsia="en-GB"/>
    </w:rPr>
  </w:style>
  <w:style w:type="character" w:customStyle="1" w:styleId="65">
    <w:name w:val="列出段落 Char"/>
    <w:link w:val="55"/>
    <w:qFormat/>
    <w:locked/>
    <w:uiPriority w:val="34"/>
    <w:rPr>
      <w:rFonts w:ascii="Calibri" w:hAnsi="Calibri"/>
      <w:kern w:val="2"/>
      <w:sz w:val="21"/>
      <w:szCs w:val="22"/>
    </w:rPr>
  </w:style>
  <w:style w:type="paragraph" w:customStyle="1" w:styleId="66">
    <w:name w:val="插图题注"/>
    <w:basedOn w:val="1"/>
    <w:qFormat/>
    <w:uiPriority w:val="0"/>
    <w:pPr>
      <w:spacing w:after="180"/>
    </w:pPr>
    <w:rPr>
      <w:rFonts w:eastAsia="宋体"/>
      <w:szCs w:val="20"/>
      <w:lang w:val="en-GB"/>
    </w:rPr>
  </w:style>
  <w:style w:type="paragraph" w:customStyle="1" w:styleId="67">
    <w:name w:val="表格题注"/>
    <w:basedOn w:val="1"/>
    <w:qFormat/>
    <w:uiPriority w:val="0"/>
    <w:pPr>
      <w:spacing w:after="180"/>
    </w:pPr>
    <w:rPr>
      <w:rFonts w:eastAsia="宋体"/>
      <w:szCs w:val="20"/>
      <w:lang w:val="en-GB"/>
    </w:rPr>
  </w:style>
  <w:style w:type="character" w:customStyle="1" w:styleId="68">
    <w:name w:val="B1 Char"/>
    <w:qFormat/>
    <w:locked/>
    <w:uiPriority w:val="0"/>
    <w:rPr>
      <w:rFonts w:ascii="Arial" w:hAnsi="Arial" w:eastAsia="宋体" w:cs="Times New Roman"/>
      <w:sz w:val="20"/>
      <w:szCs w:val="20"/>
      <w:lang w:val="en-GB"/>
    </w:rPr>
  </w:style>
  <w:style w:type="paragraph" w:customStyle="1" w:styleId="69">
    <w:name w:val="Reference"/>
    <w:basedOn w:val="1"/>
    <w:qFormat/>
    <w:uiPriority w:val="0"/>
    <w:pPr>
      <w:numPr>
        <w:ilvl w:val="0"/>
        <w:numId w:val="5"/>
      </w:numPr>
      <w:overflowPunct w:val="0"/>
      <w:autoSpaceDE w:val="0"/>
      <w:autoSpaceDN w:val="0"/>
      <w:adjustRightInd w:val="0"/>
      <w:spacing w:after="120"/>
      <w:jc w:val="both"/>
      <w:textAlignment w:val="baseline"/>
    </w:pPr>
    <w:rPr>
      <w:rFonts w:ascii="Arial" w:hAnsi="Arial" w:eastAsia="Malgun Gothic"/>
      <w:szCs w:val="20"/>
      <w:lang w:val="en-GB" w:eastAsia="zh-CN"/>
    </w:rPr>
  </w:style>
  <w:style w:type="paragraph" w:customStyle="1" w:styleId="70">
    <w:name w:val="Doc-title"/>
    <w:basedOn w:val="1"/>
    <w:next w:val="63"/>
    <w:link w:val="71"/>
    <w:qFormat/>
    <w:uiPriority w:val="0"/>
    <w:pPr>
      <w:spacing w:before="60"/>
      <w:ind w:left="1259" w:hanging="1259"/>
    </w:pPr>
    <w:rPr>
      <w:rFonts w:ascii="Arial" w:hAnsi="Arial" w:eastAsia="MS Mincho"/>
      <w:lang w:val="en-GB" w:eastAsia="en-GB"/>
    </w:rPr>
  </w:style>
  <w:style w:type="character" w:customStyle="1" w:styleId="71">
    <w:name w:val="Doc-title Char"/>
    <w:link w:val="70"/>
    <w:qFormat/>
    <w:uiPriority w:val="0"/>
    <w:rPr>
      <w:rFonts w:ascii="Arial" w:hAnsi="Arial" w:eastAsia="MS Mincho"/>
      <w:szCs w:val="24"/>
      <w:lang w:val="en-GB" w:eastAsia="en-GB"/>
    </w:rPr>
  </w:style>
  <w:style w:type="paragraph" w:customStyle="1" w:styleId="72">
    <w:name w:val="Observation"/>
    <w:basedOn w:val="73"/>
    <w:qFormat/>
    <w:uiPriority w:val="0"/>
    <w:pPr>
      <w:numPr>
        <w:ilvl w:val="0"/>
        <w:numId w:val="6"/>
      </w:numPr>
      <w:tabs>
        <w:tab w:val="left" w:pos="1304"/>
        <w:tab w:val="left" w:pos="1701"/>
      </w:tabs>
    </w:pPr>
  </w:style>
  <w:style w:type="paragraph" w:customStyle="1" w:styleId="73">
    <w:name w:val="Proposal"/>
    <w:basedOn w:val="1"/>
    <w:qFormat/>
    <w:uiPriority w:val="0"/>
    <w:pPr>
      <w:numPr>
        <w:ilvl w:val="0"/>
        <w:numId w:val="7"/>
      </w:numPr>
      <w:tabs>
        <w:tab w:val="left" w:pos="1701"/>
      </w:tabs>
    </w:pPr>
    <w:rPr>
      <w:b/>
      <w:bCs/>
    </w:rPr>
  </w:style>
  <w:style w:type="paragraph" w:customStyle="1" w:styleId="74">
    <w:name w:val="Agreement"/>
    <w:basedOn w:val="1"/>
    <w:next w:val="63"/>
    <w:qFormat/>
    <w:uiPriority w:val="0"/>
    <w:pPr>
      <w:numPr>
        <w:ilvl w:val="0"/>
        <w:numId w:val="8"/>
      </w:numPr>
      <w:spacing w:before="60"/>
    </w:pPr>
    <w:rPr>
      <w:b/>
    </w:rPr>
  </w:style>
  <w:style w:type="paragraph" w:customStyle="1" w:styleId="75">
    <w:name w:val="NO"/>
    <w:basedOn w:val="1"/>
    <w:qFormat/>
    <w:uiPriority w:val="0"/>
    <w:pPr>
      <w:keepLines/>
      <w:ind w:left="1135" w:hanging="851"/>
    </w:pPr>
  </w:style>
  <w:style w:type="paragraph" w:customStyle="1" w:styleId="76">
    <w:name w:val="B3"/>
    <w:basedOn w:val="11"/>
    <w:qFormat/>
    <w:uiPriority w:val="0"/>
    <w:pPr>
      <w:ind w:left="1135" w:hanging="284"/>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559067-FBAE-4FBC-9CC2-722267416650}">
  <ds:schemaRefs/>
</ds:datastoreItem>
</file>

<file path=docProps/app.xml><?xml version="1.0" encoding="utf-8"?>
<Properties xmlns="http://schemas.openxmlformats.org/officeDocument/2006/extended-properties" xmlns:vt="http://schemas.openxmlformats.org/officeDocument/2006/docPropsVTypes">
  <Template>Normal.dotm</Template>
  <Company>Vivo</Company>
  <Pages>3</Pages>
  <Words>737</Words>
  <Characters>4205</Characters>
  <Lines>35</Lines>
  <Paragraphs>9</Paragraphs>
  <TotalTime>0</TotalTime>
  <ScaleCrop>false</ScaleCrop>
  <LinksUpToDate>false</LinksUpToDate>
  <CharactersWithSpaces>4933</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2019-02-15T05:43:00Z</dcterms:created>
  <dc:creator>VIVO</dc:creator>
  <cp:lastModifiedBy>vivo</cp:lastModifiedBy>
  <cp:lastPrinted>2011-08-03T09:36:00Z</cp:lastPrinted>
  <dcterms:modified xsi:type="dcterms:W3CDTF">2020-02-14T04:00:09Z</dcterms:modified>
  <dc:title>3GPP contribution</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